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363C7" w:rsidRPr="00293282" w:rsidRDefault="00151C63" w:rsidP="00EC126B">
      <w:pPr>
        <w:spacing w:after="0" w:line="336" w:lineRule="auto"/>
        <w:jc w:val="center"/>
        <w:rPr>
          <w:rFonts w:ascii="Times New Roman" w:hAnsi="Times New Roman"/>
          <w:b/>
          <w:sz w:val="27"/>
          <w:szCs w:val="27"/>
        </w:rPr>
      </w:pPr>
      <w:r w:rsidRPr="00293282">
        <w:rPr>
          <w:rFonts w:ascii="Times New Roman" w:hAnsi="Times New Roman"/>
          <w:b/>
          <w:sz w:val="27"/>
          <w:szCs w:val="27"/>
        </w:rPr>
        <w:t xml:space="preserve">Информационные материалы </w:t>
      </w:r>
      <w:r w:rsidR="00086C10" w:rsidRPr="00293282">
        <w:rPr>
          <w:rFonts w:ascii="Times New Roman" w:hAnsi="Times New Roman"/>
          <w:b/>
          <w:sz w:val="27"/>
          <w:szCs w:val="27"/>
        </w:rPr>
        <w:t xml:space="preserve">по проекту решения Думы Уссурийского городского округа </w:t>
      </w:r>
      <w:r w:rsidRPr="00293282">
        <w:rPr>
          <w:rFonts w:ascii="Times New Roman" w:hAnsi="Times New Roman"/>
          <w:b/>
          <w:sz w:val="27"/>
          <w:szCs w:val="27"/>
        </w:rPr>
        <w:t xml:space="preserve">«О внесении изменений в решение Думы муниципального образования г. Уссурийск и Уссурийский район </w:t>
      </w:r>
      <w:r w:rsidR="00293282">
        <w:rPr>
          <w:rFonts w:ascii="Times New Roman" w:hAnsi="Times New Roman"/>
          <w:b/>
          <w:sz w:val="27"/>
          <w:szCs w:val="27"/>
        </w:rPr>
        <w:br/>
      </w:r>
      <w:r w:rsidRPr="00293282">
        <w:rPr>
          <w:rFonts w:ascii="Times New Roman" w:hAnsi="Times New Roman"/>
          <w:b/>
          <w:sz w:val="27"/>
          <w:szCs w:val="27"/>
        </w:rPr>
        <w:t>от 30 ноября 2004 года № 104 «О Правилах землепользования и застройки Уссурийского городского округа»</w:t>
      </w:r>
      <w:r w:rsidR="00A72590" w:rsidRPr="00293282">
        <w:rPr>
          <w:rFonts w:ascii="Times New Roman" w:hAnsi="Times New Roman"/>
          <w:b/>
          <w:sz w:val="27"/>
          <w:szCs w:val="27"/>
        </w:rPr>
        <w:t>.</w:t>
      </w:r>
    </w:p>
    <w:p w:rsidR="00A97CFB" w:rsidRDefault="00A97CFB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A97CFB">
        <w:rPr>
          <w:rFonts w:ascii="Times New Roman" w:hAnsi="Times New Roman"/>
          <w:sz w:val="27"/>
          <w:szCs w:val="27"/>
        </w:rPr>
        <w:t>Внести в решение Думы муниципального образования г. Уссурийск и Уссурийский район от 30 ноября 2004 года «О Правилах землепользования и застройки Уссурийского городского округа» следующие изменения</w:t>
      </w:r>
      <w:r>
        <w:rPr>
          <w:rFonts w:ascii="Times New Roman" w:hAnsi="Times New Roman"/>
          <w:sz w:val="27"/>
          <w:szCs w:val="27"/>
        </w:rPr>
        <w:t>: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 xml:space="preserve">в разделе </w:t>
      </w:r>
      <w:r w:rsidRPr="00FC764E">
        <w:rPr>
          <w:rFonts w:ascii="Times New Roman" w:hAnsi="Times New Roman"/>
          <w:sz w:val="27"/>
          <w:szCs w:val="27"/>
          <w:lang w:val="en-US"/>
        </w:rPr>
        <w:t>III</w:t>
      </w:r>
      <w:r w:rsidRPr="00FC764E">
        <w:rPr>
          <w:rFonts w:ascii="Times New Roman" w:hAnsi="Times New Roman"/>
          <w:sz w:val="27"/>
          <w:szCs w:val="27"/>
        </w:rPr>
        <w:t xml:space="preserve"> «Градостроительные регламенты»: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>1) в пункте 1 «Основные виды разрешенного использования» зоны объектов сельскохозяйственного назначения (СХЗ 3) в графе «Виды разрешенного использования земельных участков и объектов капитального строительства» строку «Производство и переработка сельскохозяйственной продукции» заменить следующим содержанием: «Производство, переработка и хранение сельскохозяйственной продукции»;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>2) в пункте 1 «Основные виды разрешенного использования» зоны объектов животноводства (СХЗ 2) дополнить пунктом «Пчеловодство»,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FC764E" w:rsidRPr="00FC764E" w:rsidTr="00472259">
        <w:tc>
          <w:tcPr>
            <w:tcW w:w="2235" w:type="dxa"/>
            <w:shd w:val="clear" w:color="auto" w:fill="auto"/>
          </w:tcPr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Пчеловодство</w:t>
            </w:r>
          </w:p>
        </w:tc>
        <w:tc>
          <w:tcPr>
            <w:tcW w:w="6520" w:type="dxa"/>
            <w:shd w:val="clear" w:color="auto" w:fill="auto"/>
          </w:tcPr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Предельное количество этажей не подлежит установлению.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 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Размеры земельных участков – не менее 500 кв. м.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40</w:t>
            </w:r>
          </w:p>
        </w:tc>
      </w:tr>
    </w:tbl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>3) в пункте 1 «Основные виды разрешенного использования» зоны общественного и социального назначения (ОДЗ 2), зоны коммерческого и коммунально-бытового назначения (ОДЗ 3), зоны обслуживания объектов, необходимых для осуществления производственной и предпринимательской деятельности (ОДЗ 4), зоны промышленности (</w:t>
      </w:r>
      <w:proofErr w:type="gramStart"/>
      <w:r w:rsidRPr="00FC764E">
        <w:rPr>
          <w:rFonts w:ascii="Times New Roman" w:hAnsi="Times New Roman"/>
          <w:sz w:val="27"/>
          <w:szCs w:val="27"/>
        </w:rPr>
        <w:t>ПР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1), зоны промышленных объектов II класса опасности (ПР 2), зоны промышленных объектов III класса опасности (ПР 3), зоны промышленных объектов IV - V класса опасности (</w:t>
      </w:r>
      <w:proofErr w:type="gramStart"/>
      <w:r w:rsidRPr="00FC764E">
        <w:rPr>
          <w:rFonts w:ascii="Times New Roman" w:hAnsi="Times New Roman"/>
          <w:sz w:val="27"/>
          <w:szCs w:val="27"/>
        </w:rPr>
        <w:t>ПР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4), коммунально складской зоны (ПР 5), зоны объектов автомобильного транспорта (ТИ 1), зоны объектов обслуживания автомобильного транспорта (ТИ 2) дополнить предложением следующего содержания: «Максимальные и минимальные размеры земельного участка определяются в соответствии с техническими регламентами по заданию на проектирование»;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764E">
        <w:rPr>
          <w:rFonts w:ascii="Times New Roman" w:hAnsi="Times New Roman"/>
          <w:sz w:val="27"/>
          <w:szCs w:val="27"/>
        </w:rPr>
        <w:lastRenderedPageBreak/>
        <w:t xml:space="preserve">в пункте 2 «Условно разрешенные виды использования» зоны застройки малоэтажными жилыми домами (Ж 2), зоны застройки </w:t>
      </w:r>
      <w:proofErr w:type="spellStart"/>
      <w:r w:rsidRPr="00FC764E">
        <w:rPr>
          <w:rFonts w:ascii="Times New Roman" w:hAnsi="Times New Roman"/>
          <w:sz w:val="27"/>
          <w:szCs w:val="27"/>
        </w:rPr>
        <w:t>среднеэтажными</w:t>
      </w:r>
      <w:proofErr w:type="spellEnd"/>
      <w:r w:rsidRPr="00FC764E">
        <w:rPr>
          <w:rFonts w:ascii="Times New Roman" w:hAnsi="Times New Roman"/>
          <w:sz w:val="27"/>
          <w:szCs w:val="27"/>
        </w:rPr>
        <w:t xml:space="preserve"> жилыми домами (Ж 3), зоны застройки многоэтажными жилыми домами (Ж 4), зоны застройки </w:t>
      </w:r>
      <w:proofErr w:type="spellStart"/>
      <w:r w:rsidRPr="00FC764E">
        <w:rPr>
          <w:rFonts w:ascii="Times New Roman" w:hAnsi="Times New Roman"/>
          <w:sz w:val="27"/>
          <w:szCs w:val="27"/>
        </w:rPr>
        <w:t>среднеэтажными</w:t>
      </w:r>
      <w:proofErr w:type="spellEnd"/>
      <w:r w:rsidRPr="00FC764E">
        <w:rPr>
          <w:rFonts w:ascii="Times New Roman" w:hAnsi="Times New Roman"/>
          <w:sz w:val="27"/>
          <w:szCs w:val="27"/>
        </w:rPr>
        <w:t xml:space="preserve"> жилыми домами с нежилыми помещениями на первых этажах (Ж 5), зоны делового назначения (ОДЗ 1), зоны исторического центра (ИЦ) дополнить предложением следующего содержания: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«Максимальные и минимальные размеры земельного участка определяются в соответствии с техническими регламентами по заданию на проектирование»;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 xml:space="preserve">4) в пункте 1 «Основные виды разрешенного использования» зоны застройки жилыми домами сезонного проживания (Ж 6) графу «Предельные размеры земельных участков и предельные размеры разрешенного строительства, реконструкции объекта капитального строительства» строку «Коммунальное обслуживание» заменить абзацем следующего содержания: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C764E" w:rsidRPr="00FC764E" w:rsidTr="00472259">
        <w:tc>
          <w:tcPr>
            <w:tcW w:w="2835" w:type="dxa"/>
            <w:shd w:val="clear" w:color="auto" w:fill="auto"/>
          </w:tcPr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Коммунальное обслуживание</w:t>
            </w:r>
          </w:p>
        </w:tc>
        <w:tc>
          <w:tcPr>
            <w:tcW w:w="6521" w:type="dxa"/>
            <w:shd w:val="clear" w:color="auto" w:fill="auto"/>
          </w:tcPr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 xml:space="preserve">Минимальные размеры земельного участка определяются в соответствии с техническими регламентами по заданию на проектирование. 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 xml:space="preserve">Минимальные отступы от границ земельного участка до капитальных </w:t>
            </w:r>
            <w:proofErr w:type="gramStart"/>
            <w:r w:rsidRPr="00FC764E">
              <w:rPr>
                <w:rFonts w:ascii="Times New Roman" w:hAnsi="Times New Roman"/>
                <w:sz w:val="27"/>
                <w:szCs w:val="27"/>
              </w:rPr>
              <w:t>строений</w:t>
            </w:r>
            <w:proofErr w:type="gramEnd"/>
            <w:r w:rsidRPr="00FC764E">
              <w:rPr>
                <w:rFonts w:ascii="Times New Roman" w:hAnsi="Times New Roman"/>
                <w:sz w:val="27"/>
                <w:szCs w:val="27"/>
              </w:rPr>
              <w:t xml:space="preserve"> не являющихся линейными – 3 м. 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Предельное максимальное количество этажей – 2 надземных этажа.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Максимальный процент застройки в границах земельного участка, включая здания, строения, сооружения, в том числе, обеспечивающие функционирование объекта – 60 %.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Максимальные размеры земельного участка – 5000 кв.м.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>Действие градостроительного регламента не распространяется:</w:t>
            </w:r>
          </w:p>
          <w:p w:rsidR="00FC764E" w:rsidRPr="00FC764E" w:rsidRDefault="00FC764E" w:rsidP="00FC764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C764E">
              <w:rPr>
                <w:rFonts w:ascii="Times New Roman" w:hAnsi="Times New Roman"/>
                <w:sz w:val="27"/>
                <w:szCs w:val="27"/>
              </w:rPr>
              <w:t xml:space="preserve">На реконструируемые объекты, разрешение на строительство которых получено до введения в действие настоящих Правил (редакция от 22 декабря </w:t>
            </w:r>
            <w:r w:rsidRPr="00FC764E">
              <w:rPr>
                <w:rFonts w:ascii="Times New Roman" w:hAnsi="Times New Roman"/>
                <w:sz w:val="27"/>
                <w:szCs w:val="27"/>
              </w:rPr>
              <w:br/>
              <w:t>2011 года № 505-НПА), расположенные с нарушением градостроительного регламента, в части уменьшения минимальных отступов от границ земельного участка, предусмотренной этажности объекта, регламентируемого процента застройки.</w:t>
            </w:r>
          </w:p>
        </w:tc>
      </w:tr>
    </w:tbl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 xml:space="preserve">5) в пункте 1 «Основные виды разрешенного использования» зоны застройки индивидуальными жилыми домами (Ж 1), зоны застройки </w:t>
      </w:r>
      <w:proofErr w:type="spellStart"/>
      <w:r w:rsidRPr="00FC764E">
        <w:rPr>
          <w:rFonts w:ascii="Times New Roman" w:hAnsi="Times New Roman"/>
          <w:sz w:val="27"/>
          <w:szCs w:val="27"/>
        </w:rPr>
        <w:t>среднеэтыжными</w:t>
      </w:r>
      <w:proofErr w:type="spellEnd"/>
      <w:r w:rsidRPr="00FC764E">
        <w:rPr>
          <w:rFonts w:ascii="Times New Roman" w:hAnsi="Times New Roman"/>
          <w:sz w:val="27"/>
          <w:szCs w:val="27"/>
        </w:rPr>
        <w:t xml:space="preserve"> жилыми домами с нежилыми помещениями на первых </w:t>
      </w:r>
      <w:proofErr w:type="gramStart"/>
      <w:r w:rsidRPr="00FC764E">
        <w:rPr>
          <w:rFonts w:ascii="Times New Roman" w:hAnsi="Times New Roman"/>
          <w:sz w:val="27"/>
          <w:szCs w:val="27"/>
        </w:rPr>
        <w:t>этажах (Ж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5), зоны жилой застройки сел (Ж 7), зоны общественного и социального назначения (ОДЗ 2), зоны режимных территорий (РТ):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>а) в графе «Виды разрешенного использования земельных участков и объектов капитального строительства» слова «Объекты здравоохранения (стоматологические кабинеты, амбулаторно-поликлинические учреждения, аптеки и иные подобные объекты» заменить словом «Здравоохранение»;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764E">
        <w:rPr>
          <w:rFonts w:ascii="Times New Roman" w:hAnsi="Times New Roman"/>
          <w:sz w:val="27"/>
          <w:szCs w:val="27"/>
        </w:rPr>
        <w:lastRenderedPageBreak/>
        <w:t>б) графу «Ограничения использования земельных участков и объектов капитального строительства» в строке «</w:t>
      </w:r>
      <w:r w:rsidR="00C97CE7" w:rsidRPr="00FC764E">
        <w:rPr>
          <w:rFonts w:ascii="Times New Roman" w:hAnsi="Times New Roman"/>
          <w:sz w:val="27"/>
          <w:szCs w:val="27"/>
        </w:rPr>
        <w:t>Объекты здравоохранения (стоматологические кабинеты, амбулаторно-поликлинические учреждения, аптеки и иные подобные объекты</w:t>
      </w:r>
      <w:r w:rsidRPr="00FC764E">
        <w:rPr>
          <w:rFonts w:ascii="Times New Roman" w:hAnsi="Times New Roman"/>
          <w:sz w:val="27"/>
          <w:szCs w:val="27"/>
        </w:rPr>
        <w:t>» слова «Минимальные размеры земельного участка: амбулаторно-поликлинические учреждения – 3000 кв.м; аптеки - 2000 кв. м; стоматологические кабинеты - 500 кв. м.» заменить абзацем следующего содержания: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«Максимальные и минимальные размеры земельного участка определяются в соответствии с техническими регламентами по заданию на проектирование»;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 xml:space="preserve">в пункте 2 «Условно разрешенные виды использования» зоны застройки малоэтажными жилыми домами (Ж 2), зоны застройки </w:t>
      </w:r>
      <w:proofErr w:type="spellStart"/>
      <w:r w:rsidRPr="00FC764E">
        <w:rPr>
          <w:rFonts w:ascii="Times New Roman" w:hAnsi="Times New Roman"/>
          <w:sz w:val="27"/>
          <w:szCs w:val="27"/>
        </w:rPr>
        <w:t>среднеэтажными</w:t>
      </w:r>
      <w:proofErr w:type="spellEnd"/>
      <w:r w:rsidRPr="00FC764E">
        <w:rPr>
          <w:rFonts w:ascii="Times New Roman" w:hAnsi="Times New Roman"/>
          <w:sz w:val="27"/>
          <w:szCs w:val="27"/>
        </w:rPr>
        <w:t xml:space="preserve"> жилыми домами (Ж 3), зоны застройки многоэтажными жилыми домами (Ж 4), зоны застройки жилыми домами сезонного проживания (Ж 6), коммунально складской зоны (</w:t>
      </w:r>
      <w:proofErr w:type="gramStart"/>
      <w:r w:rsidRPr="00FC764E">
        <w:rPr>
          <w:rFonts w:ascii="Times New Roman" w:hAnsi="Times New Roman"/>
          <w:sz w:val="27"/>
          <w:szCs w:val="27"/>
        </w:rPr>
        <w:t>ПР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5), зоны объектов обслуживания автомобильного транспорта (ТИ 2);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FC764E">
        <w:rPr>
          <w:rFonts w:ascii="Times New Roman" w:hAnsi="Times New Roman"/>
          <w:sz w:val="27"/>
          <w:szCs w:val="27"/>
        </w:rPr>
        <w:t>а) в графе «Виды разрешенного использования земельных участков и объектов капитального строительства» слова «Объекты здравоохранения (стоматологические кабинеты, амбулаторно-поликлинические учреждения, аптеки и иные подобные объекты» заменить словом «Здравоохранение»;</w:t>
      </w:r>
    </w:p>
    <w:p w:rsidR="00FC764E" w:rsidRPr="00FC764E" w:rsidRDefault="00FC764E" w:rsidP="00FC764E">
      <w:pPr>
        <w:spacing w:after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C764E">
        <w:rPr>
          <w:rFonts w:ascii="Times New Roman" w:hAnsi="Times New Roman"/>
          <w:sz w:val="27"/>
          <w:szCs w:val="27"/>
        </w:rPr>
        <w:t>б) графу «Ограничения использования земельных участков и объектов капитального строительства» в строке «</w:t>
      </w:r>
      <w:r w:rsidR="00C97CE7" w:rsidRPr="00FC764E">
        <w:rPr>
          <w:rFonts w:ascii="Times New Roman" w:hAnsi="Times New Roman"/>
          <w:sz w:val="27"/>
          <w:szCs w:val="27"/>
        </w:rPr>
        <w:t>Объекты здравоохранения (стоматологические кабинеты, амбулаторно-поликлинические учреждения, аптеки и иные подобные объекты</w:t>
      </w:r>
      <w:bookmarkStart w:id="0" w:name="_GoBack"/>
      <w:bookmarkEnd w:id="0"/>
      <w:r w:rsidRPr="00FC764E">
        <w:rPr>
          <w:rFonts w:ascii="Times New Roman" w:hAnsi="Times New Roman"/>
          <w:sz w:val="27"/>
          <w:szCs w:val="27"/>
        </w:rPr>
        <w:t>» слова «Минимальные размеры земельного участка: амбулаторно-поликлинические учреждения – 3000 кв.м; аптеки - 2000 кв. м; стоматологические кабинеты - 500 кв. м.» заменить абзацем следующего содержания:</w:t>
      </w:r>
      <w:proofErr w:type="gramEnd"/>
      <w:r w:rsidRPr="00FC764E">
        <w:rPr>
          <w:rFonts w:ascii="Times New Roman" w:hAnsi="Times New Roman"/>
          <w:sz w:val="27"/>
          <w:szCs w:val="27"/>
        </w:rPr>
        <w:t xml:space="preserve"> «Максимальные и минимальные размеры земельного участка определяются в соответствии с техническими регламентами по заданию на проектирование».</w:t>
      </w:r>
    </w:p>
    <w:p w:rsidR="00FC764E" w:rsidRDefault="00FC764E" w:rsidP="00EC126B">
      <w:pPr>
        <w:spacing w:after="0" w:line="336" w:lineRule="auto"/>
        <w:jc w:val="both"/>
        <w:rPr>
          <w:rFonts w:ascii="Times New Roman" w:hAnsi="Times New Roman"/>
          <w:sz w:val="27"/>
          <w:szCs w:val="27"/>
        </w:rPr>
      </w:pPr>
    </w:p>
    <w:sectPr w:rsidR="00FC764E" w:rsidSect="0076374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77E3A"/>
    <w:multiLevelType w:val="hybridMultilevel"/>
    <w:tmpl w:val="52CA5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47B"/>
    <w:multiLevelType w:val="hybridMultilevel"/>
    <w:tmpl w:val="A6127A16"/>
    <w:lvl w:ilvl="0" w:tplc="29A03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48"/>
    <w:rsid w:val="00016D55"/>
    <w:rsid w:val="000305F2"/>
    <w:rsid w:val="00042090"/>
    <w:rsid w:val="0004388B"/>
    <w:rsid w:val="000453D6"/>
    <w:rsid w:val="00050313"/>
    <w:rsid w:val="00050B94"/>
    <w:rsid w:val="00051013"/>
    <w:rsid w:val="00052CE4"/>
    <w:rsid w:val="00085375"/>
    <w:rsid w:val="00085C30"/>
    <w:rsid w:val="000862A8"/>
    <w:rsid w:val="00086C10"/>
    <w:rsid w:val="00091AEB"/>
    <w:rsid w:val="0009496D"/>
    <w:rsid w:val="00097623"/>
    <w:rsid w:val="000B07C9"/>
    <w:rsid w:val="000B6180"/>
    <w:rsid w:val="000B7F11"/>
    <w:rsid w:val="000C1DA9"/>
    <w:rsid w:val="000C5031"/>
    <w:rsid w:val="000E6227"/>
    <w:rsid w:val="000F07F7"/>
    <w:rsid w:val="000F67F1"/>
    <w:rsid w:val="000F6A13"/>
    <w:rsid w:val="00101594"/>
    <w:rsid w:val="0010421F"/>
    <w:rsid w:val="00113BC0"/>
    <w:rsid w:val="0013323C"/>
    <w:rsid w:val="00144839"/>
    <w:rsid w:val="001477B8"/>
    <w:rsid w:val="00151C63"/>
    <w:rsid w:val="00160ADD"/>
    <w:rsid w:val="00160FD6"/>
    <w:rsid w:val="00167FDE"/>
    <w:rsid w:val="00171126"/>
    <w:rsid w:val="0018051D"/>
    <w:rsid w:val="00185DC2"/>
    <w:rsid w:val="00186278"/>
    <w:rsid w:val="0019147F"/>
    <w:rsid w:val="00195368"/>
    <w:rsid w:val="001B3267"/>
    <w:rsid w:val="001B4A52"/>
    <w:rsid w:val="001D6E81"/>
    <w:rsid w:val="001D7ADC"/>
    <w:rsid w:val="001E1D17"/>
    <w:rsid w:val="001E7997"/>
    <w:rsid w:val="001F0EF2"/>
    <w:rsid w:val="00211036"/>
    <w:rsid w:val="00222648"/>
    <w:rsid w:val="002230C6"/>
    <w:rsid w:val="0024165F"/>
    <w:rsid w:val="002443B6"/>
    <w:rsid w:val="00271F15"/>
    <w:rsid w:val="0027582F"/>
    <w:rsid w:val="00285172"/>
    <w:rsid w:val="00293282"/>
    <w:rsid w:val="002A2858"/>
    <w:rsid w:val="002A2CE8"/>
    <w:rsid w:val="002B571B"/>
    <w:rsid w:val="002D3FDC"/>
    <w:rsid w:val="002E4479"/>
    <w:rsid w:val="002F3464"/>
    <w:rsid w:val="00300F6F"/>
    <w:rsid w:val="0030736B"/>
    <w:rsid w:val="003117C6"/>
    <w:rsid w:val="00313641"/>
    <w:rsid w:val="00322090"/>
    <w:rsid w:val="00325A8B"/>
    <w:rsid w:val="00326FC5"/>
    <w:rsid w:val="00345B8C"/>
    <w:rsid w:val="003543D1"/>
    <w:rsid w:val="00356206"/>
    <w:rsid w:val="00356653"/>
    <w:rsid w:val="003575EE"/>
    <w:rsid w:val="00377E83"/>
    <w:rsid w:val="00380D9C"/>
    <w:rsid w:val="003A0E63"/>
    <w:rsid w:val="003A0ED5"/>
    <w:rsid w:val="003A30BE"/>
    <w:rsid w:val="003B60B2"/>
    <w:rsid w:val="003C74F7"/>
    <w:rsid w:val="003D35A2"/>
    <w:rsid w:val="00407FE2"/>
    <w:rsid w:val="00416CBE"/>
    <w:rsid w:val="0041744D"/>
    <w:rsid w:val="004201DE"/>
    <w:rsid w:val="00427EFC"/>
    <w:rsid w:val="00433C5A"/>
    <w:rsid w:val="004403F6"/>
    <w:rsid w:val="004413A0"/>
    <w:rsid w:val="00451C69"/>
    <w:rsid w:val="004606EB"/>
    <w:rsid w:val="00462014"/>
    <w:rsid w:val="00464E38"/>
    <w:rsid w:val="004810E5"/>
    <w:rsid w:val="004850A6"/>
    <w:rsid w:val="00494A27"/>
    <w:rsid w:val="004A36BB"/>
    <w:rsid w:val="004A39D8"/>
    <w:rsid w:val="004A6293"/>
    <w:rsid w:val="004A64A4"/>
    <w:rsid w:val="004B452D"/>
    <w:rsid w:val="004B483A"/>
    <w:rsid w:val="004C1839"/>
    <w:rsid w:val="004D1070"/>
    <w:rsid w:val="004D3440"/>
    <w:rsid w:val="004E3270"/>
    <w:rsid w:val="004F1459"/>
    <w:rsid w:val="004F2B56"/>
    <w:rsid w:val="004F5625"/>
    <w:rsid w:val="00504B21"/>
    <w:rsid w:val="00521F60"/>
    <w:rsid w:val="005227BD"/>
    <w:rsid w:val="00525D98"/>
    <w:rsid w:val="00532957"/>
    <w:rsid w:val="00535DB4"/>
    <w:rsid w:val="005363C7"/>
    <w:rsid w:val="00543402"/>
    <w:rsid w:val="00543F3D"/>
    <w:rsid w:val="005500C3"/>
    <w:rsid w:val="005532E3"/>
    <w:rsid w:val="00557218"/>
    <w:rsid w:val="005615D4"/>
    <w:rsid w:val="00573F49"/>
    <w:rsid w:val="0057464A"/>
    <w:rsid w:val="005809BE"/>
    <w:rsid w:val="00582BDD"/>
    <w:rsid w:val="00583396"/>
    <w:rsid w:val="00583A0D"/>
    <w:rsid w:val="00583FF4"/>
    <w:rsid w:val="00597206"/>
    <w:rsid w:val="005B2789"/>
    <w:rsid w:val="005B4CE8"/>
    <w:rsid w:val="005E0410"/>
    <w:rsid w:val="00601531"/>
    <w:rsid w:val="00606F75"/>
    <w:rsid w:val="006073AE"/>
    <w:rsid w:val="006202CD"/>
    <w:rsid w:val="00627785"/>
    <w:rsid w:val="00632527"/>
    <w:rsid w:val="006335C6"/>
    <w:rsid w:val="00634515"/>
    <w:rsid w:val="00636773"/>
    <w:rsid w:val="0063695E"/>
    <w:rsid w:val="00641D67"/>
    <w:rsid w:val="006579A6"/>
    <w:rsid w:val="00660F77"/>
    <w:rsid w:val="00664FAB"/>
    <w:rsid w:val="006656EC"/>
    <w:rsid w:val="00672BD0"/>
    <w:rsid w:val="00683809"/>
    <w:rsid w:val="006945FE"/>
    <w:rsid w:val="006A621A"/>
    <w:rsid w:val="006C289B"/>
    <w:rsid w:val="006C4D3E"/>
    <w:rsid w:val="006D3A0F"/>
    <w:rsid w:val="006E5E7C"/>
    <w:rsid w:val="006F0447"/>
    <w:rsid w:val="006F198C"/>
    <w:rsid w:val="006F52A1"/>
    <w:rsid w:val="006F530C"/>
    <w:rsid w:val="006F534E"/>
    <w:rsid w:val="006F7452"/>
    <w:rsid w:val="00710B38"/>
    <w:rsid w:val="0071139F"/>
    <w:rsid w:val="00724993"/>
    <w:rsid w:val="007336C8"/>
    <w:rsid w:val="00740BBD"/>
    <w:rsid w:val="00743B9B"/>
    <w:rsid w:val="00750E3A"/>
    <w:rsid w:val="0076374E"/>
    <w:rsid w:val="007640E8"/>
    <w:rsid w:val="00767473"/>
    <w:rsid w:val="00767875"/>
    <w:rsid w:val="0077014F"/>
    <w:rsid w:val="007759CA"/>
    <w:rsid w:val="00783F74"/>
    <w:rsid w:val="00786CD3"/>
    <w:rsid w:val="00796C26"/>
    <w:rsid w:val="007A0264"/>
    <w:rsid w:val="007A2484"/>
    <w:rsid w:val="007B7425"/>
    <w:rsid w:val="007C532E"/>
    <w:rsid w:val="007D37D9"/>
    <w:rsid w:val="007E0042"/>
    <w:rsid w:val="007E2BFD"/>
    <w:rsid w:val="007E6E61"/>
    <w:rsid w:val="007E6E6D"/>
    <w:rsid w:val="007F0984"/>
    <w:rsid w:val="007F0BEC"/>
    <w:rsid w:val="007F27F8"/>
    <w:rsid w:val="0080169C"/>
    <w:rsid w:val="00806034"/>
    <w:rsid w:val="008066ED"/>
    <w:rsid w:val="0082408C"/>
    <w:rsid w:val="008310BD"/>
    <w:rsid w:val="00832631"/>
    <w:rsid w:val="00833335"/>
    <w:rsid w:val="00833583"/>
    <w:rsid w:val="008358F4"/>
    <w:rsid w:val="0084055A"/>
    <w:rsid w:val="00851CF0"/>
    <w:rsid w:val="00854F85"/>
    <w:rsid w:val="00863B60"/>
    <w:rsid w:val="0086640B"/>
    <w:rsid w:val="008668F7"/>
    <w:rsid w:val="00887383"/>
    <w:rsid w:val="0089018B"/>
    <w:rsid w:val="008A6619"/>
    <w:rsid w:val="008A6E6A"/>
    <w:rsid w:val="008B20D9"/>
    <w:rsid w:val="008B5015"/>
    <w:rsid w:val="008B6551"/>
    <w:rsid w:val="008C0D7E"/>
    <w:rsid w:val="008C3F53"/>
    <w:rsid w:val="008C4BC3"/>
    <w:rsid w:val="008D5783"/>
    <w:rsid w:val="008E31AB"/>
    <w:rsid w:val="008E57A9"/>
    <w:rsid w:val="008F3465"/>
    <w:rsid w:val="008F5437"/>
    <w:rsid w:val="008F5678"/>
    <w:rsid w:val="00901430"/>
    <w:rsid w:val="00901BB3"/>
    <w:rsid w:val="00904DAE"/>
    <w:rsid w:val="00923214"/>
    <w:rsid w:val="00923AED"/>
    <w:rsid w:val="00923D84"/>
    <w:rsid w:val="00931F68"/>
    <w:rsid w:val="00933088"/>
    <w:rsid w:val="009437EC"/>
    <w:rsid w:val="00953B7D"/>
    <w:rsid w:val="0096268B"/>
    <w:rsid w:val="00963149"/>
    <w:rsid w:val="00964211"/>
    <w:rsid w:val="009648EB"/>
    <w:rsid w:val="009652A4"/>
    <w:rsid w:val="0097018A"/>
    <w:rsid w:val="00970896"/>
    <w:rsid w:val="009808CE"/>
    <w:rsid w:val="00982FAA"/>
    <w:rsid w:val="00987B79"/>
    <w:rsid w:val="009901AC"/>
    <w:rsid w:val="00993CE0"/>
    <w:rsid w:val="009A0430"/>
    <w:rsid w:val="009B4856"/>
    <w:rsid w:val="009B7D09"/>
    <w:rsid w:val="009C0A25"/>
    <w:rsid w:val="009C1E31"/>
    <w:rsid w:val="009C48EE"/>
    <w:rsid w:val="009C73D5"/>
    <w:rsid w:val="009D0277"/>
    <w:rsid w:val="009E0AB3"/>
    <w:rsid w:val="009E4D82"/>
    <w:rsid w:val="009E52A8"/>
    <w:rsid w:val="009E5D4A"/>
    <w:rsid w:val="009E665F"/>
    <w:rsid w:val="009F3B7B"/>
    <w:rsid w:val="009F5F1A"/>
    <w:rsid w:val="00A05973"/>
    <w:rsid w:val="00A24321"/>
    <w:rsid w:val="00A277B6"/>
    <w:rsid w:val="00A31848"/>
    <w:rsid w:val="00A459C7"/>
    <w:rsid w:val="00A47424"/>
    <w:rsid w:val="00A51AE0"/>
    <w:rsid w:val="00A522EA"/>
    <w:rsid w:val="00A55423"/>
    <w:rsid w:val="00A569D7"/>
    <w:rsid w:val="00A61D1F"/>
    <w:rsid w:val="00A638BC"/>
    <w:rsid w:val="00A72590"/>
    <w:rsid w:val="00A738D2"/>
    <w:rsid w:val="00A76E7C"/>
    <w:rsid w:val="00A824E7"/>
    <w:rsid w:val="00A838B2"/>
    <w:rsid w:val="00A839FB"/>
    <w:rsid w:val="00A84CD5"/>
    <w:rsid w:val="00A9286B"/>
    <w:rsid w:val="00A97CFB"/>
    <w:rsid w:val="00AA2682"/>
    <w:rsid w:val="00AA4A7F"/>
    <w:rsid w:val="00AB04FA"/>
    <w:rsid w:val="00AB2519"/>
    <w:rsid w:val="00AC1C6E"/>
    <w:rsid w:val="00AC445B"/>
    <w:rsid w:val="00AC4B21"/>
    <w:rsid w:val="00AC63A0"/>
    <w:rsid w:val="00AD091D"/>
    <w:rsid w:val="00AD0ED5"/>
    <w:rsid w:val="00AD1E76"/>
    <w:rsid w:val="00AD6651"/>
    <w:rsid w:val="00AE04D6"/>
    <w:rsid w:val="00AE4C58"/>
    <w:rsid w:val="00AF7DA0"/>
    <w:rsid w:val="00B006E3"/>
    <w:rsid w:val="00B011DB"/>
    <w:rsid w:val="00B10541"/>
    <w:rsid w:val="00B113E6"/>
    <w:rsid w:val="00B13143"/>
    <w:rsid w:val="00B15D42"/>
    <w:rsid w:val="00B164AD"/>
    <w:rsid w:val="00B21BBF"/>
    <w:rsid w:val="00B30AFD"/>
    <w:rsid w:val="00B37AE6"/>
    <w:rsid w:val="00B532A0"/>
    <w:rsid w:val="00B56200"/>
    <w:rsid w:val="00B564E5"/>
    <w:rsid w:val="00B56957"/>
    <w:rsid w:val="00B607DB"/>
    <w:rsid w:val="00B60B88"/>
    <w:rsid w:val="00B82182"/>
    <w:rsid w:val="00B85018"/>
    <w:rsid w:val="00B858A8"/>
    <w:rsid w:val="00B92D81"/>
    <w:rsid w:val="00BA4790"/>
    <w:rsid w:val="00BA57D5"/>
    <w:rsid w:val="00BA65EE"/>
    <w:rsid w:val="00BA6E73"/>
    <w:rsid w:val="00BB6616"/>
    <w:rsid w:val="00BB7474"/>
    <w:rsid w:val="00BC1560"/>
    <w:rsid w:val="00BD2567"/>
    <w:rsid w:val="00BD38AB"/>
    <w:rsid w:val="00BD7A48"/>
    <w:rsid w:val="00BE328B"/>
    <w:rsid w:val="00BF1D05"/>
    <w:rsid w:val="00BF2D50"/>
    <w:rsid w:val="00BF76A0"/>
    <w:rsid w:val="00C000E8"/>
    <w:rsid w:val="00C01683"/>
    <w:rsid w:val="00C22E1C"/>
    <w:rsid w:val="00C2458A"/>
    <w:rsid w:val="00C27BAE"/>
    <w:rsid w:val="00C51138"/>
    <w:rsid w:val="00C62079"/>
    <w:rsid w:val="00C715A8"/>
    <w:rsid w:val="00C80D4E"/>
    <w:rsid w:val="00C82356"/>
    <w:rsid w:val="00C8333B"/>
    <w:rsid w:val="00C86C35"/>
    <w:rsid w:val="00C87959"/>
    <w:rsid w:val="00C90F38"/>
    <w:rsid w:val="00C94E95"/>
    <w:rsid w:val="00C97C9A"/>
    <w:rsid w:val="00C97CE7"/>
    <w:rsid w:val="00CA43B6"/>
    <w:rsid w:val="00CA7645"/>
    <w:rsid w:val="00CC1870"/>
    <w:rsid w:val="00CC21CA"/>
    <w:rsid w:val="00CC38EB"/>
    <w:rsid w:val="00CC68BB"/>
    <w:rsid w:val="00CC7B25"/>
    <w:rsid w:val="00CD001C"/>
    <w:rsid w:val="00CD1425"/>
    <w:rsid w:val="00CD19BF"/>
    <w:rsid w:val="00CD386D"/>
    <w:rsid w:val="00CD53EB"/>
    <w:rsid w:val="00CD57D8"/>
    <w:rsid w:val="00CE1BC0"/>
    <w:rsid w:val="00CE41B7"/>
    <w:rsid w:val="00CE4CC3"/>
    <w:rsid w:val="00CE5151"/>
    <w:rsid w:val="00CE697E"/>
    <w:rsid w:val="00D12038"/>
    <w:rsid w:val="00D14A01"/>
    <w:rsid w:val="00D1525B"/>
    <w:rsid w:val="00D22E7A"/>
    <w:rsid w:val="00D25A6E"/>
    <w:rsid w:val="00D3326F"/>
    <w:rsid w:val="00D33342"/>
    <w:rsid w:val="00D43329"/>
    <w:rsid w:val="00D446B2"/>
    <w:rsid w:val="00D47358"/>
    <w:rsid w:val="00D50B64"/>
    <w:rsid w:val="00D60715"/>
    <w:rsid w:val="00D74271"/>
    <w:rsid w:val="00D83190"/>
    <w:rsid w:val="00D85899"/>
    <w:rsid w:val="00D8743F"/>
    <w:rsid w:val="00D91B67"/>
    <w:rsid w:val="00D929A6"/>
    <w:rsid w:val="00DA1D43"/>
    <w:rsid w:val="00DA74E2"/>
    <w:rsid w:val="00DB13DB"/>
    <w:rsid w:val="00DB5554"/>
    <w:rsid w:val="00DC5FCE"/>
    <w:rsid w:val="00DD3D8E"/>
    <w:rsid w:val="00DD58FE"/>
    <w:rsid w:val="00DD6AA4"/>
    <w:rsid w:val="00DE0C53"/>
    <w:rsid w:val="00DF407A"/>
    <w:rsid w:val="00DF4491"/>
    <w:rsid w:val="00E04D07"/>
    <w:rsid w:val="00E140C7"/>
    <w:rsid w:val="00E14C30"/>
    <w:rsid w:val="00E15221"/>
    <w:rsid w:val="00E2213B"/>
    <w:rsid w:val="00E26E18"/>
    <w:rsid w:val="00E27733"/>
    <w:rsid w:val="00E5490B"/>
    <w:rsid w:val="00E565F8"/>
    <w:rsid w:val="00E60591"/>
    <w:rsid w:val="00E63C4B"/>
    <w:rsid w:val="00E74E72"/>
    <w:rsid w:val="00E85615"/>
    <w:rsid w:val="00E87DCC"/>
    <w:rsid w:val="00E97694"/>
    <w:rsid w:val="00EA7E88"/>
    <w:rsid w:val="00EC126B"/>
    <w:rsid w:val="00EC3AEE"/>
    <w:rsid w:val="00EC53FC"/>
    <w:rsid w:val="00EC6EFB"/>
    <w:rsid w:val="00ED006D"/>
    <w:rsid w:val="00ED58BB"/>
    <w:rsid w:val="00EE4AAC"/>
    <w:rsid w:val="00EF5B5C"/>
    <w:rsid w:val="00F051AE"/>
    <w:rsid w:val="00F212D5"/>
    <w:rsid w:val="00F24C1A"/>
    <w:rsid w:val="00F25288"/>
    <w:rsid w:val="00F25C5E"/>
    <w:rsid w:val="00F27843"/>
    <w:rsid w:val="00F2795D"/>
    <w:rsid w:val="00F324B9"/>
    <w:rsid w:val="00F32F4C"/>
    <w:rsid w:val="00F4110B"/>
    <w:rsid w:val="00F443F5"/>
    <w:rsid w:val="00F51012"/>
    <w:rsid w:val="00F53604"/>
    <w:rsid w:val="00F54F29"/>
    <w:rsid w:val="00F56DE8"/>
    <w:rsid w:val="00F619C3"/>
    <w:rsid w:val="00F66E90"/>
    <w:rsid w:val="00F723C4"/>
    <w:rsid w:val="00F724B8"/>
    <w:rsid w:val="00F81649"/>
    <w:rsid w:val="00F828D9"/>
    <w:rsid w:val="00F8542C"/>
    <w:rsid w:val="00F90CC2"/>
    <w:rsid w:val="00F94057"/>
    <w:rsid w:val="00FA58A4"/>
    <w:rsid w:val="00FA7F45"/>
    <w:rsid w:val="00FC08DD"/>
    <w:rsid w:val="00FC23D5"/>
    <w:rsid w:val="00FC764E"/>
    <w:rsid w:val="00FD252C"/>
    <w:rsid w:val="00FE1051"/>
    <w:rsid w:val="00FE1339"/>
    <w:rsid w:val="00FE3036"/>
    <w:rsid w:val="00FE6933"/>
    <w:rsid w:val="00FF38D8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8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848"/>
    <w:pPr>
      <w:ind w:left="720"/>
      <w:contextualSpacing/>
    </w:pPr>
  </w:style>
  <w:style w:type="paragraph" w:customStyle="1" w:styleId="ConsPlusNormal">
    <w:name w:val="ConsPlusNormal"/>
    <w:rsid w:val="00982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66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AE04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E04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link w:val="1"/>
    <w:rsid w:val="00325A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25A8B"/>
    <w:pPr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52BF-8B14-4C30-AC72-C86C8BC6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светлакова</dc:creator>
  <cp:lastModifiedBy>Татьяна Владимировна Бочарова</cp:lastModifiedBy>
  <cp:revision>270</cp:revision>
  <cp:lastPrinted>2018-04-16T07:54:00Z</cp:lastPrinted>
  <dcterms:created xsi:type="dcterms:W3CDTF">2017-05-16T22:41:00Z</dcterms:created>
  <dcterms:modified xsi:type="dcterms:W3CDTF">2018-09-19T04:03:00Z</dcterms:modified>
</cp:coreProperties>
</file>