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8" w:rsidRDefault="00266A58" w:rsidP="00266A58">
      <w:pPr>
        <w:ind w:left="510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66A58" w:rsidRDefault="00266A58" w:rsidP="00266A58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Уссурийского городского округа </w:t>
      </w:r>
    </w:p>
    <w:p w:rsidR="00266A58" w:rsidRDefault="00266A58" w:rsidP="00266A58">
      <w:pPr>
        <w:ind w:left="5102"/>
        <w:rPr>
          <w:sz w:val="28"/>
          <w:szCs w:val="28"/>
        </w:rPr>
      </w:pPr>
      <w:r>
        <w:rPr>
          <w:sz w:val="28"/>
          <w:szCs w:val="28"/>
        </w:rPr>
        <w:t>от 25.10.2018 г. № 118</w:t>
      </w:r>
    </w:p>
    <w:p w:rsidR="00266A58" w:rsidRDefault="00266A58" w:rsidP="00266A58">
      <w:pPr>
        <w:jc w:val="center"/>
        <w:rPr>
          <w:sz w:val="28"/>
          <w:szCs w:val="28"/>
        </w:rPr>
      </w:pPr>
    </w:p>
    <w:p w:rsidR="00266A58" w:rsidRDefault="00266A58" w:rsidP="00266A5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266A58" w:rsidRDefault="00266A58" w:rsidP="00266A58">
      <w:pPr>
        <w:ind w:left="-142" w:firstLine="142"/>
        <w:jc w:val="center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r>
        <w:rPr>
          <w:bCs/>
          <w:snapToGrid w:val="0"/>
          <w:sz w:val="28"/>
          <w:szCs w:val="28"/>
        </w:rPr>
        <w:t>по проекту решения Думы Уссурийского городского округа "О внесении изменений в решение Думы муниципального образования г. Уссурийск и Уссурийский район от 30 ноября 2004 года № 104 "О Правилах землепользования и застройки Уссурийского городского округа"</w:t>
      </w:r>
    </w:p>
    <w:p w:rsidR="00266A58" w:rsidRDefault="00266A58" w:rsidP="00266A58">
      <w:pPr>
        <w:ind w:left="-142" w:firstLine="142"/>
        <w:jc w:val="center"/>
        <w:rPr>
          <w:bCs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Информация о проекте.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Изменение границ территориальных зон.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Перечень информационных материалов к проекту.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Принять в соответствии с приложением 1 к постановлению главы Уссурийского городского округа "О назначении публичных слушаний по проекту решения Думы Уссурийского городского округа </w:t>
            </w:r>
            <w:r>
              <w:rPr>
                <w:bCs/>
                <w:snapToGrid w:val="0"/>
                <w:sz w:val="28"/>
                <w:szCs w:val="28"/>
              </w:rPr>
              <w:t>"О внесении изменений в решение Думы муниципального образования г. Уссурийск и Уссурийский район от 30 ноября 2004 года № 104 "О Правилах землепользования и застройки Уссурийского городского округа".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Места размещения оповещения.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Октябрьская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>, 58, фойе 2 этажа;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u w:val="single"/>
              </w:rPr>
            </w:pPr>
            <w:r>
              <w:rPr>
                <w:rStyle w:val="a3"/>
                <w:i w:val="0"/>
                <w:sz w:val="28"/>
                <w:szCs w:val="28"/>
                <w:u w:val="single"/>
              </w:rPr>
              <w:t>Дом культуры: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г. Уссурийск, ул. Русская, 10;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lang w:eastAsia="x-none"/>
              </w:rPr>
            </w:pPr>
            <w:r>
              <w:rPr>
                <w:rStyle w:val="a3"/>
                <w:i w:val="0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Style w:val="a3"/>
                <w:i w:val="0"/>
                <w:sz w:val="28"/>
                <w:szCs w:val="28"/>
                <w:lang w:eastAsia="x-none"/>
              </w:rPr>
              <w:t>Корсаковка</w:t>
            </w:r>
            <w:proofErr w:type="spellEnd"/>
            <w:r>
              <w:rPr>
                <w:rStyle w:val="a3"/>
                <w:i w:val="0"/>
                <w:sz w:val="28"/>
                <w:szCs w:val="28"/>
                <w:lang w:eastAsia="x-none"/>
              </w:rPr>
              <w:t>, ул. Гагарина, 9;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u w:val="single"/>
              </w:rPr>
            </w:pPr>
            <w:r>
              <w:rPr>
                <w:rStyle w:val="a3"/>
                <w:i w:val="0"/>
                <w:sz w:val="28"/>
                <w:szCs w:val="28"/>
                <w:u w:val="single"/>
              </w:rPr>
              <w:t>Административное здание: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lang w:eastAsia="x-none"/>
              </w:rPr>
            </w:pPr>
            <w:r>
              <w:rPr>
                <w:rStyle w:val="a3"/>
                <w:i w:val="0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Style w:val="a3"/>
                <w:i w:val="0"/>
                <w:sz w:val="28"/>
                <w:szCs w:val="28"/>
                <w:lang w:eastAsia="x-none"/>
              </w:rPr>
              <w:t>Корсаковка</w:t>
            </w:r>
            <w:proofErr w:type="spellEnd"/>
            <w:r>
              <w:rPr>
                <w:rStyle w:val="a3"/>
                <w:i w:val="0"/>
                <w:sz w:val="28"/>
                <w:szCs w:val="28"/>
                <w:lang w:eastAsia="x-none"/>
              </w:rPr>
              <w:t>, ул. Комсомольская, 25;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u w:val="single"/>
              </w:rPr>
            </w:pPr>
            <w:r>
              <w:rPr>
                <w:rStyle w:val="a3"/>
                <w:i w:val="0"/>
                <w:sz w:val="28"/>
                <w:szCs w:val="28"/>
                <w:u w:val="single"/>
              </w:rPr>
              <w:t>Отделы приема соцзащиты: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г. Уссурийск, ул. Полушкина, 49а; 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г. Уссурийск, ул. Амурская, 45;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г. Уссурийск, ул. Короленко, 13;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г. Уссурийск, ул. Некрасова, 19.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u w:val="single"/>
              </w:rPr>
            </w:pPr>
            <w:r>
              <w:rPr>
                <w:rStyle w:val="a3"/>
                <w:i w:val="0"/>
                <w:sz w:val="28"/>
                <w:szCs w:val="28"/>
                <w:u w:val="single"/>
              </w:rPr>
              <w:t>Доска объявлений: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lang w:eastAsia="x-none"/>
              </w:rPr>
            </w:pPr>
            <w:proofErr w:type="spellStart"/>
            <w:r>
              <w:rPr>
                <w:rStyle w:val="a3"/>
                <w:i w:val="0"/>
                <w:sz w:val="28"/>
                <w:szCs w:val="28"/>
                <w:lang w:eastAsia="x-none"/>
              </w:rPr>
              <w:t>с</w:t>
            </w:r>
            <w:proofErr w:type="gramStart"/>
            <w:r>
              <w:rPr>
                <w:rStyle w:val="a3"/>
                <w:i w:val="0"/>
                <w:sz w:val="28"/>
                <w:szCs w:val="28"/>
                <w:lang w:eastAsia="x-none"/>
              </w:rPr>
              <w:t>.К</w:t>
            </w:r>
            <w:proofErr w:type="gramEnd"/>
            <w:r>
              <w:rPr>
                <w:rStyle w:val="a3"/>
                <w:i w:val="0"/>
                <w:sz w:val="28"/>
                <w:szCs w:val="28"/>
                <w:lang w:eastAsia="x-none"/>
              </w:rPr>
              <w:t>угуки</w:t>
            </w:r>
            <w:proofErr w:type="spellEnd"/>
            <w:r>
              <w:rPr>
                <w:rStyle w:val="a3"/>
                <w:i w:val="0"/>
                <w:sz w:val="28"/>
                <w:szCs w:val="28"/>
                <w:lang w:eastAsia="x-none"/>
              </w:rPr>
              <w:t>, ул. Центральная,7;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lang w:eastAsia="x-none"/>
              </w:rPr>
            </w:pPr>
            <w:r>
              <w:rPr>
                <w:rStyle w:val="a3"/>
                <w:i w:val="0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Style w:val="a3"/>
                <w:i w:val="0"/>
                <w:sz w:val="28"/>
                <w:szCs w:val="28"/>
                <w:lang w:eastAsia="x-none"/>
              </w:rPr>
              <w:t>Корсаковка</w:t>
            </w:r>
            <w:proofErr w:type="spellEnd"/>
            <w:r>
              <w:rPr>
                <w:rStyle w:val="a3"/>
                <w:i w:val="0"/>
                <w:sz w:val="28"/>
                <w:szCs w:val="28"/>
                <w:lang w:eastAsia="x-none"/>
              </w:rPr>
              <w:t>, ул. Гагарина, 11;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  <w:u w:val="single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Боневурово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>, ул. Школьная, 35.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Порядок проведения публичных слушаний.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1) оповещение о начале публичных слушаний;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bookmarkStart w:id="0" w:name="Par5"/>
            <w:bookmarkEnd w:id="0"/>
            <w:r>
              <w:rPr>
                <w:rStyle w:val="a3"/>
                <w:i w:val="0"/>
                <w:sz w:val="28"/>
                <w:szCs w:val="28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"Интернет" и открытие экспозиции или экспозиций такого проекта;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>3) проведение экспозиции или экспозиций проекта, подлежащего рассмотрению на публичных слушаниях;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в срок до 8 ноября 2018 года информация будет размещена на сайте: https://adm-ussuriisk.ru.</w:t>
            </w:r>
          </w:p>
        </w:tc>
      </w:tr>
      <w:tr w:rsidR="00266A58" w:rsidTr="00266A58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Сроки проведения публичных слушаний.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7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В течение периода проведения публичных слушаний с 2 ноября 2018 года по 11 января 2019 года.</w:t>
            </w:r>
          </w:p>
        </w:tc>
      </w:tr>
      <w:tr w:rsidR="00266A58" w:rsidTr="00266A58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10 января 2019 года по следующим адресам: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  <w:lang w:eastAsia="x-none"/>
              </w:rPr>
            </w:pPr>
            <w:r>
              <w:rPr>
                <w:rStyle w:val="a3"/>
                <w:i w:val="0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>
              <w:rPr>
                <w:rStyle w:val="a3"/>
                <w:i w:val="0"/>
                <w:sz w:val="28"/>
                <w:szCs w:val="28"/>
                <w:lang w:eastAsia="x-none"/>
              </w:rPr>
              <w:t xml:space="preserve">, в </w:t>
            </w:r>
            <w:r>
              <w:rPr>
                <w:rStyle w:val="a3"/>
                <w:i w:val="0"/>
                <w:sz w:val="28"/>
                <w:szCs w:val="28"/>
                <w:lang w:val="x-none" w:eastAsia="x-none"/>
              </w:rPr>
              <w:t>10</w:t>
            </w:r>
            <w:r>
              <w:rPr>
                <w:rStyle w:val="a3"/>
                <w:i w:val="0"/>
                <w:sz w:val="28"/>
                <w:szCs w:val="28"/>
                <w:lang w:eastAsia="x-none"/>
              </w:rPr>
              <w:t>:</w:t>
            </w:r>
            <w:r>
              <w:rPr>
                <w:rStyle w:val="a3"/>
                <w:i w:val="0"/>
                <w:sz w:val="28"/>
                <w:szCs w:val="28"/>
                <w:lang w:val="x-none" w:eastAsia="x-none"/>
              </w:rPr>
              <w:t>00 часов</w:t>
            </w:r>
            <w:r>
              <w:rPr>
                <w:rStyle w:val="a3"/>
                <w:i w:val="0"/>
                <w:sz w:val="28"/>
                <w:szCs w:val="28"/>
                <w:lang w:eastAsia="x-none"/>
              </w:rPr>
              <w:t>.</w:t>
            </w:r>
          </w:p>
        </w:tc>
      </w:tr>
      <w:tr w:rsidR="00266A58" w:rsidTr="00266A58">
        <w:trPr>
          <w:trHeight w:val="1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Сроки проведения собрания участников публичных слушаний </w:t>
            </w:r>
            <w:r>
              <w:rPr>
                <w:iCs/>
                <w:sz w:val="28"/>
                <w:szCs w:val="28"/>
              </w:rPr>
              <w:br/>
            </w:r>
            <w:r>
              <w:rPr>
                <w:rStyle w:val="a3"/>
                <w:i w:val="0"/>
                <w:sz w:val="28"/>
                <w:szCs w:val="28"/>
              </w:rPr>
              <w:t>(с постановления):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11 января 2019 года по адресу: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г. Уссурийск, ул. Ленина, 101,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каб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. 111, в </w:t>
            </w:r>
            <w:r>
              <w:rPr>
                <w:iCs/>
                <w:sz w:val="28"/>
                <w:szCs w:val="28"/>
              </w:rPr>
              <w:br/>
            </w:r>
            <w:r>
              <w:rPr>
                <w:rStyle w:val="a3"/>
                <w:i w:val="0"/>
                <w:sz w:val="28"/>
                <w:szCs w:val="28"/>
              </w:rPr>
              <w:t>10:00 часов.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 Участниками общественных обсуждений считаются граждане прошедшие идентификацию.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с 2 ноября 2018 года по 11 января 2019 года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Предложения и замечания могут вноситься: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1) посредством официального сайта;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266A58" w:rsidTr="00266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Идентификация участников </w:t>
            </w:r>
            <w:r>
              <w:rPr>
                <w:rStyle w:val="a3"/>
                <w:i w:val="0"/>
                <w:sz w:val="28"/>
                <w:szCs w:val="28"/>
              </w:rPr>
              <w:lastRenderedPageBreak/>
              <w:t>общественных слушаний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 xml:space="preserve">Участники общественных обсуждений в Комиссию в целях идентификации, представляют сведения о себе </w:t>
            </w:r>
            <w:r>
              <w:rPr>
                <w:rStyle w:val="a3"/>
                <w:i w:val="0"/>
                <w:sz w:val="28"/>
                <w:szCs w:val="28"/>
              </w:rPr>
              <w:lastRenderedPageBreak/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266A58" w:rsidRDefault="00266A58">
            <w:pPr>
              <w:widowControl w:val="0"/>
              <w:snapToGrid w:val="0"/>
              <w:spacing w:line="232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лица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533D7D" w:rsidRDefault="00533D7D">
      <w:bookmarkStart w:id="1" w:name="_GoBack"/>
      <w:bookmarkEnd w:id="1"/>
    </w:p>
    <w:sectPr w:rsidR="0053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5"/>
    <w:rsid w:val="0011210F"/>
    <w:rsid w:val="00266A58"/>
    <w:rsid w:val="003139EC"/>
    <w:rsid w:val="00533D7D"/>
    <w:rsid w:val="009D6475"/>
    <w:rsid w:val="00AD210C"/>
    <w:rsid w:val="00B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66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6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Company>*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Бочарова</dc:creator>
  <cp:keywords/>
  <dc:description/>
  <cp:lastModifiedBy>Татьяна Владимировна Бочарова</cp:lastModifiedBy>
  <cp:revision>2</cp:revision>
  <dcterms:created xsi:type="dcterms:W3CDTF">2018-10-29T02:12:00Z</dcterms:created>
  <dcterms:modified xsi:type="dcterms:W3CDTF">2018-10-29T02:12:00Z</dcterms:modified>
</cp:coreProperties>
</file>