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«Поддержка социально ориентированных некоммерческих организаций на территории Уссурийского городского округа на 2023 – 2027 годы»,  утвержденной постановлением администрации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ноября 2022 года № 3034-НПА за 2023 год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40"/>
        <w:jc w:val="both"/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04"/>
        <w:gridCol w:w="1909"/>
        <w:gridCol w:w="1068"/>
        <w:gridCol w:w="492"/>
        <w:gridCol w:w="1492"/>
        <w:gridCol w:w="351"/>
        <w:gridCol w:w="849"/>
        <w:gridCol w:w="568"/>
        <w:gridCol w:w="567"/>
        <w:gridCol w:w="1133"/>
        <w:gridCol w:w="218"/>
        <w:gridCol w:w="917"/>
        <w:gridCol w:w="142"/>
        <w:gridCol w:w="642"/>
        <w:gridCol w:w="1201"/>
        <w:gridCol w:w="142"/>
        <w:gridCol w:w="358"/>
        <w:gridCol w:w="1910"/>
      </w:tblGrid>
      <w:tr>
        <w:tblPrEx/>
        <w:trPr/>
        <w:tc>
          <w:tcPr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п/п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мероприятия, мероприятия, контрольн</w:t>
            </w:r>
            <w:r>
              <w:rPr>
                <w:rFonts w:ascii="Times New Roman" w:hAnsi="Times New Roman" w:cs="Times New Roman"/>
              </w:rPr>
              <w:t xml:space="preserve">ого события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tcW w:w="2335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срок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2268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срок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W w:w="4395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реализации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окончания реализа-ции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-62" w:right="13"/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реализа-ции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ind w:left="-62" w:right="-129"/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окончания реализа-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-62" w:right="-129"/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достигнутые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184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18"/>
            <w:tcW w:w="1466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I. ВЫПОЛНЕНИЕ ПЛАНА-ГРАФИКА РЕАЛИЗАЦИИ МУНИЦИПАЛЬНОЙ ПРОГРАММЫ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18"/>
            <w:tcW w:w="1466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исполнению задачи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финансовой и имущественной поддержки социально ориентированным некоммерческим организациям»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Уссурийского городского округа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Беркетова Т.Н., главный специалист 1 разряда управления по связям с общественностью и взаимодействию с силовыми структурами администрации УГО (дале</w:t>
            </w:r>
            <w:r>
              <w:rPr>
                <w:rFonts w:ascii="Times New Roman" w:hAnsi="Times New Roman" w:cs="Times New Roman"/>
              </w:rPr>
              <w:t xml:space="preserve">е –Беркетова Т.Н.)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социально ориентированным некоммерческим организациям Уссурийского городского округа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некоммерческим организациям Уссурийского городского 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Порядка предоставления субсидий социально ориентированным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 организациям в Уссурийском городском округе (далее – Порядок)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Беркетова Т.Н.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15.02.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ind w:left="-74" w:right="-12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74" w:right="-12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15.02.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29.03.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Разработано и утверждено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Уссурийского городского округа  «О внесении изменений в Порядок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субсидий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социально ориенти-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рованным некоммерческим организациям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Уссурийском городском округе»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29.03.2023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812-НПА «О внесении изменений в постановление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25.08.2017 года № 2555-НПА «Об утверждении Порядка предоста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ления субсидий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циально ориентир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ванным некоммерч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ским организациям в Уссурийском горо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ском округе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Опубликование Порядка  и прием заявок и документов социально ориентированных некоммерческих организаций на предоставление субсидии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Беркетова Т.Н.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08.06.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ind w:left="-84" w:right="-95"/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08.06. 2023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Опубликован Порядок и извещение об объявлении конкурса по предоставлению субсидий СО НКО.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</w:r>
            <w:r>
              <w:rPr>
                <w:rFonts w:ascii="Times New Roman" w:hAnsi="Times New Roman" w:cs="Times New Roman"/>
                <w:b/>
                <w:highlight w:val="white"/>
              </w:rPr>
            </w:r>
            <w:r>
              <w:rPr>
                <w:rFonts w:ascii="Times New Roman" w:hAnsi="Times New Roman" w:cs="Times New Roman"/>
                <w:b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извещение об объявлении конкурса по предоставлению субсидий СО НКО. До 08.06.2023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социально ориентированных некоммерческих организаций на предоставление субсидии.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заседания комиссии по определению получателей субсидий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Беркетова Т.Н</w:t>
            </w:r>
            <w:r>
              <w:rPr>
                <w:rFonts w:ascii="Times New Roman" w:hAnsi="Times New Roman" w:cs="Times New Roman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47" w:right="-1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47" w:right="-132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47" w:right="-132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47" w:right="-132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47" w:right="-132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47" w:right="-132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right="-132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Проведено заседание комиссии по определению получателей субсидий. Определены  получатели субсидий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комиссии по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получателей субсидий. 17 СО НКО определены  получателями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Заключение соглашений с получателями субсидий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Беркетова Т.Н.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30.06.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81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ind w:left="-47" w:right="-1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30.06.. 2023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right="-132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Заключены  соглашения с получателями субсидий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Заключены  соглашения с получателями субсидий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согласование 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 утверждении списка получателей субсидии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Беркетова Т.Н.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30.06.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ind w:right="11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07.07.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right="11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-47" w:right="-1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right="-132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Согласовано распоряжение об утверждении списка СО НКО Уссурийского городского округа - получателей субсидии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Распоряжением администрации Уссурийского городского округа от 23.08.2023 года № 316 определен список получателей субсидии в 2023 году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Перечисление выплаты победителям конкурса по предоставлению субсидий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Беркетова Т.Н.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07.07.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07.07.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Перечисление выплаты победителям конкурса 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предоставлению субсидий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left="80" w:right="1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еречислены выплаты победителям конкурса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субсидий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Пикалова Л.В.,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г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лавный специалист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1 разряда управления по связям с общественностью и взаимодействию с силовыми структурами администрации УГО (далее –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Пикало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ва Л.В.)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20.02.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05.07.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23.11.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left="80" w:right="-132"/>
              <w:spacing w:after="0" w:line="240" w:lineRule="auto"/>
              <w:widowControl w:val="off"/>
              <w:tabs>
                <w:tab w:val="left" w:pos="851" w:leader="none"/>
                <w:tab w:val="left" w:pos="28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социально значимых проектов социально ориентированных некоммерческих  организаций       Уссурийского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Разработка и утверждение постановления администрации Уссурийского городского округа «</w:t>
            </w:r>
            <w:r>
              <w:rPr>
                <w:sz w:val="24"/>
                <w:szCs w:val="24"/>
                <w:highlight w:val="white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годах (далее – Положение)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Пикалова Л.В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20.02.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05.07.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05.07.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Разработано и утверждено постановление администрации Уссурийского городского округа «</w:t>
            </w:r>
            <w:r>
              <w:rPr>
                <w:sz w:val="24"/>
                <w:szCs w:val="24"/>
                <w:highlight w:val="white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Уссурийского городского округа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администрации Уссурийского городского округа от 07.07.2023 года  № 2046-НПА утвержден Порядок предоставления субсидий  на реализацию социально значимых проектов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Уссурийского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Сбор заявок 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Пикалова Л.В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09.06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06.10.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07.11.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Сбор заявок и   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документов,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мерческих организаций Уссурийского городского округа 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Уссурийского городского округа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презентации проектов и принятие решения экспертной комиссией по определению победителей конкурса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Пикалова Л.В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26.06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10.07. 2023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23.11.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презентации проектов и принятие решения экспертной комиссией по определению победителей конкурса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Проведены презентации проектов и принято решения экспертной комиссией по определению         победителей конкурса проектов СО НКО.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 СО НКО определены победителями конкурса проектов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согласование распоряжения об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утверждении списка получателей субсидии на реализацию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Пикалова Л.В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26.05.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06.06.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19.07.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Подготовлено и согласовано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распоряжение об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утверждении списка получателей субсидии на реализацию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Подготовлено и согласовано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распоряжение об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утверждении списка получателей субсидии на реализацию проектов СО НКО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Распоряжением      администрации Уссу-рийского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округа от 19.07.2023 года № 245 утвержден список получателей субсидий на реализацию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 НКО в 2023 году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Распоряжением      администрации Уссу-рийского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округа от 11.12.2023 года № 511 утвержден список получателей субсидий на реализацию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 НКО в 2023 году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Заключение соглашений с получателями субсидий на реализацию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Пикалова Л.В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31.07.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31.07.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21.08.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14.12.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Заключены соглашения с получателями субсидий на реализацию проектов СО НКО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 получателями субсидий на реализацию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Перечисление выплаты победителям конкурса по предоставлению субсидий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Пикалова Л.В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4"/>
            <w:tcW w:w="21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Перечислены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выплаты победителям конкурса по предоставлению субсидий проектов СО НКО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выплаты победителям конкурса по предоставлению субсидий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18"/>
            <w:tcW w:w="146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 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«Расширение информационной и консультационной поддержки дея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Оказание услуг информагенствами в целях реализации проводимой органами местного самоуправления политики в области поддержки социально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Тесленко О.А., начальник отдела пресс-службы администрации Уссурийского городского округа (далее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Тесленко О.А.)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01.03.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5.11.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pStyle w:val="873"/>
              <w:ind w:left="80" w:right="-62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Оказаны услуги информагенст-вами в целях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проводимой органами местного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самоуправления политики в области поддержки социально ориентирован-ных некоммерческих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873"/>
              <w:ind w:left="80"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Оказаны услуги информагенствами в целях реализации проводимой органами местного самоуправления политики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Разработка технического задания к контракту, сбор коммерческих предложений, обоснование начальной  максимальной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01.03.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03.04.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Разработано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техническое задания к контракту, собраны коммерческие предложения с  обоснованием начальной  максимальной цены контракта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техническое задания к контракту, собраны коммерческие предложения с  обоснованием начальной  макси-мальной цены кон-тракта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электронного аукциона. Заключение муниципального контракта с победителем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8.09.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20.09.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 электронный аукцион. Заключен муниципальный контракт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электронный аукцион.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контракт № 0120300006522000069  от 07.04.2022 года с победителем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Контроль за исполнением контракта,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01.06.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8.09.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20.09.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контракта, приемка результата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оказанных услуг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ind w:right="-3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информационная услуга на телеканале «Телемикс» с эфирной и кабельной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сетью вещания по размещению видеопродукции, направленных на популяризацию деятельности СО НКО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Оплата контракта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02.06.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05.11.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right="-108"/>
              <w:jc w:val="left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Контракт оплачен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873"/>
              <w:ind w:left="80" w:right="-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оплачен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ind w:left="-142" w:right="-56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Организация и проведение семинаров для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 семинар для социально ориентирован-ных некоммерческих организаций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для социально ориентированных 0некоммерческих организаций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Подготовка и согласование проекта контракта (договора)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Вершинина Н.А.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Подготовлен и согласован проект контракта (договора) на оказание услуг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Заключен  договор    № 24 от 30.10.2023 на оказание услуги по организации и проведению семинара для СО НКО  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Вершинина Н.А.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мероприятия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ind w:right="-3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04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Оплата услуг по контракту (договору)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2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03.11.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351" w:type="dxa"/>
            <w:textDirection w:val="lrTb"/>
            <w:noWrap w:val="false"/>
          </w:tcPr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7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0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Оплата услуг по контракту (договору)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873"/>
              <w:ind w:left="80" w:right="-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тракту (договору)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18"/>
            <w:tcW w:w="1466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417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на весь </w:t>
            </w:r>
            <w:r>
              <w:rPr>
                <w:rFonts w:ascii="Times New Roman" w:hAnsi="Times New Roman" w:cs="Times New Roman"/>
              </w:rPr>
              <w:t xml:space="preserve">срок реализации программы, тыс. руб.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за весь срок реализации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исполнения,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tcW w:w="361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на текущий год,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в текущем году,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blPrEx/>
        <w:trPr/>
        <w:tc>
          <w:tcPr>
            <w:gridSpan w:val="2"/>
            <w:tcW w:w="261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5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12362,2354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1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5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1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5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1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5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1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5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p>
      <w:r>
        <w:br w:type="page" w:clear="all"/>
      </w:r>
      <w:r/>
    </w:p>
    <w:p>
      <w:pPr>
        <w:jc w:val="center"/>
        <w:spacing w:after="1" w:line="220" w:lineRule="atLeast"/>
        <w:rPr>
          <w:rFonts w:ascii="Times New Roman" w:hAnsi="Times New Roman" w:eastAsia="Times New Roman"/>
          <w:sz w:val="28"/>
          <w:szCs w:val="28"/>
          <w:lang w:eastAsia="ru-RU"/>
        </w:rPr>
        <w:sectPr>
          <w:headerReference w:type="default" r:id="rId8"/>
          <w:footnotePr/>
          <w:endnotePr/>
          <w:type w:val="nextPage"/>
          <w:pgSz w:w="16838" w:h="11906" w:orient="landscape"/>
          <w:pgMar w:top="992" w:right="1134" w:bottom="850" w:left="1134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jc w:val="center"/>
        <w:spacing w:after="1" w:line="22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jc w:val="center"/>
        <w:spacing w:after="1" w:line="22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достижении показателей (индикаторов) муниципальной программы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firstLine="540"/>
        <w:jc w:val="both"/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на территории Уссурийского городского округа на 2023 – 2027 годы»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709"/>
        <w:gridCol w:w="1913"/>
        <w:gridCol w:w="616"/>
        <w:gridCol w:w="616"/>
        <w:gridCol w:w="3092"/>
      </w:tblGrid>
      <w:tr>
        <w:tblPrEx/>
        <w:trPr/>
        <w:tc>
          <w:tcPr>
            <w:tcW w:w="4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п/п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4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(индикатора)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Еди-ница изме-ре-ния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3145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(индикаторов) муниципальной программы (подпрограммы)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092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отклонений значений показателя (индикатора) на конец отчетного периода (при наличии отклонений)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53"/>
        </w:trPr>
        <w:tc>
          <w:tcPr>
            <w:tcW w:w="4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913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предшествующий отчетному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232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0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4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91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0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91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092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7"/>
            <w:tcW w:w="9560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финансовой и имущественной поддержки социально ориентированным некоммерческим организациям»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82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Количество гражданских инициатив (количество поступивших проектов для участия в конкурсе по предоставлению субсидий на реализацию социально значимых проектов) к 2022 году</w:t>
            </w:r>
            <w:r>
              <w:rPr>
                <w:color w:val="22272f"/>
                <w:shd w:val="clear" w:color="auto" w:fill="ffffff"/>
              </w:rPr>
            </w:r>
            <w:r>
              <w:rPr>
                <w:color w:val="22272f"/>
                <w:shd w:val="clear" w:color="auto" w:fill="ffffff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3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20</w:t>
            </w:r>
            <w:r>
              <w:rPr>
                <w:color w:val="22272f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18</w:t>
            </w:r>
            <w:r>
              <w:rPr>
                <w:color w:val="22272f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  <w:highlight w:val="yellow"/>
              </w:rPr>
            </w:pPr>
            <w:r>
              <w:rPr>
                <w:highlight w:val="none"/>
              </w:rPr>
              <w:t xml:space="preserve">18</w:t>
            </w:r>
            <w:r>
              <w:rPr>
                <w:color w:val="22272f"/>
                <w:highlight w:val="yellow"/>
              </w:rPr>
            </w:r>
            <w:r>
              <w:rPr>
                <w:color w:val="22272f"/>
                <w:highlight w:val="yellow"/>
              </w:rPr>
            </w:r>
          </w:p>
        </w:tc>
        <w:tc>
          <w:tcPr>
            <w:tcW w:w="3092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= 20 /18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  <w:t xml:space="preserve">1,1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</w:r>
          </w:p>
        </w:tc>
      </w:tr>
      <w:tr>
        <w:tblPrEx/>
        <w:trPr/>
        <w:tc>
          <w:tcPr>
            <w:tcW w:w="460" w:type="dxa"/>
            <w:vMerge w:val="restart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4" w:type="dxa"/>
            <w:vMerge w:val="restart"/>
            <w:textDirection w:val="lrTb"/>
            <w:noWrap w:val="false"/>
          </w:tcPr>
          <w:p>
            <w:pPr>
              <w:pStyle w:val="882"/>
              <w:rPr>
                <w:color w:val="22272f"/>
              </w:rPr>
            </w:pPr>
            <w:r>
              <w:rPr>
                <w:color w:val="22272f"/>
              </w:rPr>
              <w:t xml:space="preserve">Количество инициатив (количество поступивших проектов), для участия в региональном и федеральном конкурсах по предоставлению  субсидий на реализацию социально значимых проектов</w:t>
            </w:r>
            <w:r>
              <w:rPr>
                <w:color w:val="22272f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3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2</w:t>
            </w:r>
            <w:r>
              <w:rPr>
                <w:color w:val="22272f"/>
              </w:rPr>
            </w:r>
          </w:p>
        </w:tc>
        <w:tc>
          <w:tcPr>
            <w:tcW w:w="616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3</w:t>
            </w:r>
            <w:r>
              <w:rPr>
                <w:color w:val="22272f"/>
              </w:rPr>
            </w:r>
          </w:p>
        </w:tc>
        <w:tc>
          <w:tcPr>
            <w:tcW w:w="616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</w:p>
        </w:tc>
        <w:tc>
          <w:tcPr>
            <w:tcW w:w="3092" w:type="dxa"/>
            <w:vMerge w:val="restart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= 2/3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  <w:t xml:space="preserve">0,7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baselin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jc w:val="left"/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Количество мероприятий, проведенных СО НКО, по приоритетным направлениям деятельности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3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11</w:t>
            </w:r>
            <w:r>
              <w:rPr>
                <w:color w:val="22272f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13</w:t>
            </w:r>
            <w:r>
              <w:rPr>
                <w:color w:val="22272f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  <w:highlight w:val="yellow"/>
              </w:rPr>
            </w:pPr>
            <w:r>
              <w:rPr>
                <w:color w:val="22272f"/>
                <w:highlight w:val="none"/>
              </w:rPr>
              <w:t xml:space="preserve">15</w:t>
            </w:r>
            <w:r>
              <w:rPr>
                <w:color w:val="22272f"/>
                <w:highlight w:val="yellow"/>
              </w:rPr>
            </w:r>
          </w:p>
        </w:tc>
        <w:tc>
          <w:tcPr>
            <w:tcW w:w="3092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= 11/15 =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  <w:t xml:space="preserve">0,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vertAlign w:val="baseline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baseline"/>
              </w:rPr>
            </w:r>
          </w:p>
        </w:tc>
      </w:tr>
      <w:tr>
        <w:tblPrEx/>
        <w:trPr/>
        <w:tc>
          <w:tcPr>
            <w:gridSpan w:val="7"/>
            <w:tcW w:w="9560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«Расширение информационной и консультационной поддержки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Количество СО НКО, получивших консультационную поддержку от органов местного самоуправления (к 2022 году)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left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3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52</w:t>
            </w:r>
            <w:r>
              <w:rPr>
                <w:color w:val="auto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54</w:t>
            </w:r>
            <w:r>
              <w:rPr>
                <w:color w:val="auto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54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3092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= 52 /54 =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  <w:t xml:space="preserve">0,9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Доля граждан, осведомленных о деятельности СО НКО Уссурийского городского округа в общей численности населения Уссурийского городского округа к 2022 году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3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58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62</w:t>
            </w:r>
            <w:r>
              <w:rPr>
                <w:color w:val="auto"/>
              </w:rPr>
            </w:r>
          </w:p>
        </w:tc>
        <w:tc>
          <w:tcPr>
            <w:tcW w:w="616" w:type="dxa"/>
            <w:textDirection w:val="lrTb"/>
            <w:noWrap w:val="false"/>
          </w:tcPr>
          <w:p>
            <w:pPr>
              <w:pStyle w:val="883"/>
              <w:jc w:val="center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62</w:t>
            </w:r>
            <w:r>
              <w:rPr>
                <w:color w:val="22272f"/>
              </w:rPr>
            </w:r>
          </w:p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3092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= 58 /62 =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baselin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vertAlign w:val="baseline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baseline"/>
              </w:rPr>
            </w:r>
          </w:p>
        </w:tc>
      </w:tr>
    </w:tbl>
    <w:p>
      <w:pPr>
        <w:ind w:firstLine="540"/>
        <w:jc w:val="both"/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line="36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= (0,9+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0,7+0,7+0,9+0,9) / 5= 0,8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spacing w:line="36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= 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факт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/Р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план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= 3462,2354 /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3462,2354</w:t>
      </w:r>
      <w:r/>
      <w:r>
        <w:rPr>
          <w:rFonts w:ascii="Times New Roman" w:hAnsi="Times New Roman" w:cs="Times New Roman"/>
          <w:sz w:val="28"/>
          <w:szCs w:val="28"/>
          <w:highlight w:val="white"/>
        </w:rPr>
        <w:t xml:space="preserve">= 1,0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spacing w:line="36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СМ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= М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 М = 4 /4 = 1,0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spacing w:line="36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Э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=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СМ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 СР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= 1 /1 = 1,0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  <w:szCs w:val="28"/>
        </w:rPr>
        <w:t xml:space="preserve"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  <w:szCs w:val="28"/>
        </w:rPr>
        <w:t xml:space="preserve">х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 xml:space="preserve">= 0,8 х 1,0 = 1,8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Вывод об эффективности муниципальной программы по итогам 2023 года составила 1,8– эффективность муниципальной программы высокая.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27267630"/>
      <w:docPartObj>
        <w:docPartGallery w:val="Page Numbers (Top of Page)"/>
        <w:docPartUnique w:val="true"/>
      </w:docPartObj>
      <w:rPr/>
    </w:sdtPr>
    <w:sdtContent>
      <w:p>
        <w:pPr>
          <w:pStyle w:val="87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7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5"/>
    <w:link w:val="696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5"/>
    <w:link w:val="697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5"/>
    <w:link w:val="698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5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5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5"/>
    <w:link w:val="717"/>
    <w:uiPriority w:val="10"/>
    <w:rPr>
      <w:sz w:val="48"/>
      <w:szCs w:val="48"/>
    </w:rPr>
  </w:style>
  <w:style w:type="character" w:styleId="690">
    <w:name w:val="Subtitle Char"/>
    <w:basedOn w:val="705"/>
    <w:link w:val="719"/>
    <w:uiPriority w:val="11"/>
    <w:rPr>
      <w:sz w:val="24"/>
      <w:szCs w:val="24"/>
    </w:rPr>
  </w:style>
  <w:style w:type="character" w:styleId="691">
    <w:name w:val="Quote Char"/>
    <w:link w:val="721"/>
    <w:uiPriority w:val="29"/>
    <w:rPr>
      <w:i/>
    </w:rPr>
  </w:style>
  <w:style w:type="character" w:styleId="692">
    <w:name w:val="Intense Quote Char"/>
    <w:link w:val="723"/>
    <w:uiPriority w:val="30"/>
    <w:rPr>
      <w:i/>
    </w:rPr>
  </w:style>
  <w:style w:type="character" w:styleId="693">
    <w:name w:val="Footnote Text Char"/>
    <w:link w:val="856"/>
    <w:uiPriority w:val="99"/>
    <w:rPr>
      <w:sz w:val="18"/>
    </w:rPr>
  </w:style>
  <w:style w:type="character" w:styleId="694">
    <w:name w:val="Endnote Text Char"/>
    <w:link w:val="859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7">
    <w:name w:val="Heading 2"/>
    <w:basedOn w:val="695"/>
    <w:next w:val="695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8">
    <w:name w:val="Heading 3"/>
    <w:basedOn w:val="695"/>
    <w:next w:val="695"/>
    <w:link w:val="7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9">
    <w:name w:val="Heading 4"/>
    <w:basedOn w:val="695"/>
    <w:next w:val="695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695"/>
    <w:next w:val="695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695"/>
    <w:next w:val="695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2">
    <w:name w:val="Heading 7"/>
    <w:basedOn w:val="695"/>
    <w:next w:val="695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3">
    <w:name w:val="Heading 8"/>
    <w:basedOn w:val="695"/>
    <w:next w:val="695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4">
    <w:name w:val="Heading 9"/>
    <w:basedOn w:val="695"/>
    <w:next w:val="695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Заголовок 1 Знак"/>
    <w:basedOn w:val="705"/>
    <w:link w:val="696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Заголовок 2 Знак"/>
    <w:basedOn w:val="705"/>
    <w:link w:val="697"/>
    <w:uiPriority w:val="9"/>
    <w:rPr>
      <w:rFonts w:ascii="Arial" w:hAnsi="Arial" w:eastAsia="Arial" w:cs="Arial"/>
      <w:sz w:val="34"/>
    </w:rPr>
  </w:style>
  <w:style w:type="character" w:styleId="710" w:customStyle="1">
    <w:name w:val="Заголовок 3 Знак"/>
    <w:basedOn w:val="705"/>
    <w:link w:val="698"/>
    <w:uiPriority w:val="9"/>
    <w:rPr>
      <w:rFonts w:ascii="Arial" w:hAnsi="Arial" w:eastAsia="Arial" w:cs="Arial"/>
      <w:sz w:val="30"/>
      <w:szCs w:val="30"/>
    </w:rPr>
  </w:style>
  <w:style w:type="character" w:styleId="711" w:customStyle="1">
    <w:name w:val="Заголовок 4 Знак"/>
    <w:basedOn w:val="705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712" w:customStyle="1">
    <w:name w:val="Заголовок 5 Знак"/>
    <w:basedOn w:val="70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13" w:customStyle="1">
    <w:name w:val="Заголовок 6 Знак"/>
    <w:basedOn w:val="705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714" w:customStyle="1">
    <w:name w:val="Заголовок 7 Знак"/>
    <w:basedOn w:val="70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Заголовок 8 Знак"/>
    <w:basedOn w:val="70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Заголовок 9 Знак"/>
    <w:basedOn w:val="70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Title"/>
    <w:basedOn w:val="695"/>
    <w:next w:val="695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 w:customStyle="1">
    <w:name w:val="Название Знак"/>
    <w:basedOn w:val="705"/>
    <w:link w:val="717"/>
    <w:uiPriority w:val="10"/>
    <w:rPr>
      <w:sz w:val="48"/>
      <w:szCs w:val="48"/>
    </w:rPr>
  </w:style>
  <w:style w:type="paragraph" w:styleId="719">
    <w:name w:val="Subtitle"/>
    <w:basedOn w:val="695"/>
    <w:next w:val="695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 w:customStyle="1">
    <w:name w:val="Подзаголовок Знак"/>
    <w:basedOn w:val="705"/>
    <w:link w:val="719"/>
    <w:uiPriority w:val="11"/>
    <w:rPr>
      <w:sz w:val="24"/>
      <w:szCs w:val="24"/>
    </w:rPr>
  </w:style>
  <w:style w:type="paragraph" w:styleId="721">
    <w:name w:val="Quote"/>
    <w:basedOn w:val="695"/>
    <w:next w:val="695"/>
    <w:link w:val="722"/>
    <w:uiPriority w:val="29"/>
    <w:qFormat/>
    <w:pPr>
      <w:ind w:left="720" w:right="720"/>
    </w:pPr>
    <w:rPr>
      <w:i/>
    </w:r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basedOn w:val="695"/>
    <w:next w:val="695"/>
    <w:link w:val="7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 w:customStyle="1">
    <w:name w:val="Выделенная цитата Знак"/>
    <w:link w:val="723"/>
    <w:uiPriority w:val="30"/>
    <w:rPr>
      <w:i/>
    </w:rPr>
  </w:style>
  <w:style w:type="character" w:styleId="725" w:customStyle="1">
    <w:name w:val="Header Char"/>
    <w:basedOn w:val="705"/>
    <w:uiPriority w:val="99"/>
  </w:style>
  <w:style w:type="character" w:styleId="726" w:customStyle="1">
    <w:name w:val="Footer Char"/>
    <w:basedOn w:val="705"/>
    <w:uiPriority w:val="99"/>
  </w:style>
  <w:style w:type="paragraph" w:styleId="727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8" w:customStyle="1">
    <w:name w:val="Caption Char"/>
    <w:uiPriority w:val="99"/>
  </w:style>
  <w:style w:type="table" w:styleId="729">
    <w:name w:val="Table Grid"/>
    <w:basedOn w:val="70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0" w:customStyle="1">
    <w:name w:val="Table Grid Light"/>
    <w:basedOn w:val="70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1" w:customStyle="1">
    <w:name w:val="Plain Table 1"/>
    <w:basedOn w:val="70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2"/>
    <w:basedOn w:val="70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3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Plain Table 4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Plain Table 5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1 Light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4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 w:customStyle="1">
    <w:name w:val="Grid Table 4 - Accent 1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9" w:customStyle="1">
    <w:name w:val="Grid Table 4 - Accent 2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0" w:customStyle="1">
    <w:name w:val="Grid Table 4 - Accent 3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1" w:customStyle="1">
    <w:name w:val="Grid Table 4 - Accent 4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2" w:customStyle="1">
    <w:name w:val="Grid Table 4 - Accent 5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3" w:customStyle="1">
    <w:name w:val="Grid Table 4 - Accent 6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4" w:customStyle="1">
    <w:name w:val="Grid Table 5 Dark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6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3" w:customStyle="1">
    <w:name w:val="Grid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4" w:customStyle="1">
    <w:name w:val="Grid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5" w:customStyle="1">
    <w:name w:val="Grid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6" w:customStyle="1">
    <w:name w:val="Grid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7" w:customStyle="1">
    <w:name w:val="Grid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8" w:customStyle="1">
    <w:name w:val="Grid Table 7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9" w:customStyle="1">
    <w:name w:val="Grid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0" w:customStyle="1">
    <w:name w:val="Grid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1" w:customStyle="1">
    <w:name w:val="Grid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2" w:customStyle="1">
    <w:name w:val="Grid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3" w:customStyle="1">
    <w:name w:val="Grid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4" w:customStyle="1">
    <w:name w:val="Grid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5" w:customStyle="1">
    <w:name w:val="List Table 1 Light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1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2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3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4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5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6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9" w:customStyle="1">
    <w:name w:val="List Table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5 Dark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6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1" w:customStyle="1">
    <w:name w:val="List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2" w:customStyle="1">
    <w:name w:val="List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3" w:customStyle="1">
    <w:name w:val="List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4" w:customStyle="1">
    <w:name w:val="List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5" w:customStyle="1">
    <w:name w:val="List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6" w:customStyle="1">
    <w:name w:val="List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7" w:customStyle="1">
    <w:name w:val="List Table 7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List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List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0" w:customStyle="1">
    <w:name w:val="List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List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List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 w:customStyle="1">
    <w:name w:val="List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4" w:customStyle="1">
    <w:name w:val="Lined - Accent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Lined - Accent 1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6" w:customStyle="1">
    <w:name w:val="Lined - Accent 2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7" w:customStyle="1">
    <w:name w:val="Lined - Accent 3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8" w:customStyle="1">
    <w:name w:val="Lined - Accent 4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9" w:customStyle="1">
    <w:name w:val="Lined - Accent 5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0" w:customStyle="1">
    <w:name w:val="Lined - Accent 6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1" w:customStyle="1">
    <w:name w:val="Bordered &amp; Lined - Accent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2" w:customStyle="1">
    <w:name w:val="Bordered &amp; Lined - Accent 1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3" w:customStyle="1">
    <w:name w:val="Bordered &amp; Lined - Accent 2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4" w:customStyle="1">
    <w:name w:val="Bordered &amp; Lined - Accent 3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5" w:customStyle="1">
    <w:name w:val="Bordered &amp; Lined - Accent 4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6" w:customStyle="1">
    <w:name w:val="Bordered &amp; Lined - Accent 5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7" w:customStyle="1">
    <w:name w:val="Bordered &amp; Lined - Accent 6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8" w:customStyle="1">
    <w:name w:val="Bordered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9" w:customStyle="1">
    <w:name w:val="Bordered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0" w:customStyle="1">
    <w:name w:val="Bordered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1" w:customStyle="1">
    <w:name w:val="Bordered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2" w:customStyle="1">
    <w:name w:val="Bordered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3" w:customStyle="1">
    <w:name w:val="Bordered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4" w:customStyle="1">
    <w:name w:val="Bordered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563c1" w:themeColor="hyperlink"/>
      <w:u w:val="single"/>
    </w:rPr>
  </w:style>
  <w:style w:type="paragraph" w:styleId="856">
    <w:name w:val="footnote text"/>
    <w:basedOn w:val="695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705"/>
    <w:uiPriority w:val="99"/>
    <w:unhideWhenUsed/>
    <w:rPr>
      <w:vertAlign w:val="superscript"/>
    </w:rPr>
  </w:style>
  <w:style w:type="paragraph" w:styleId="859">
    <w:name w:val="endnote text"/>
    <w:basedOn w:val="695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basedOn w:val="705"/>
    <w:uiPriority w:val="99"/>
    <w:semiHidden/>
    <w:unhideWhenUsed/>
    <w:rPr>
      <w:vertAlign w:val="superscript"/>
    </w:rPr>
  </w:style>
  <w:style w:type="paragraph" w:styleId="862">
    <w:name w:val="toc 1"/>
    <w:basedOn w:val="695"/>
    <w:next w:val="695"/>
    <w:uiPriority w:val="39"/>
    <w:unhideWhenUsed/>
    <w:pPr>
      <w:spacing w:after="57"/>
    </w:pPr>
  </w:style>
  <w:style w:type="paragraph" w:styleId="863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864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865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866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867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868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869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870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5"/>
    <w:next w:val="695"/>
    <w:uiPriority w:val="99"/>
    <w:unhideWhenUsed/>
    <w:pPr>
      <w:spacing w:after="0"/>
    </w:pPr>
  </w:style>
  <w:style w:type="paragraph" w:styleId="87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74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</w:rPr>
  </w:style>
  <w:style w:type="paragraph" w:styleId="875">
    <w:name w:val="Header"/>
    <w:basedOn w:val="695"/>
    <w:link w:val="8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705"/>
    <w:link w:val="875"/>
    <w:uiPriority w:val="99"/>
  </w:style>
  <w:style w:type="paragraph" w:styleId="877">
    <w:name w:val="Footer"/>
    <w:basedOn w:val="695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705"/>
    <w:link w:val="877"/>
    <w:uiPriority w:val="99"/>
  </w:style>
  <w:style w:type="paragraph" w:styleId="879">
    <w:name w:val="Balloon Text"/>
    <w:basedOn w:val="695"/>
    <w:link w:val="88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0" w:customStyle="1">
    <w:name w:val="Текст выноски Знак"/>
    <w:basedOn w:val="705"/>
    <w:link w:val="879"/>
    <w:uiPriority w:val="99"/>
    <w:semiHidden/>
    <w:rPr>
      <w:rFonts w:ascii="Segoe UI" w:hAnsi="Segoe UI" w:cs="Segoe UI"/>
      <w:sz w:val="18"/>
      <w:szCs w:val="18"/>
    </w:rPr>
  </w:style>
  <w:style w:type="paragraph" w:styleId="881">
    <w:name w:val="List Paragraph"/>
    <w:basedOn w:val="695"/>
    <w:uiPriority w:val="34"/>
    <w:qFormat/>
    <w:pPr>
      <w:contextualSpacing/>
      <w:ind w:left="720"/>
      <w:spacing w:after="200" w:line="276" w:lineRule="auto"/>
    </w:pPr>
    <w:rPr>
      <w:rFonts w:eastAsiaTheme="minorEastAsia"/>
      <w:lang w:eastAsia="ru-RU"/>
    </w:rPr>
  </w:style>
  <w:style w:type="paragraph" w:styleId="882" w:customStyle="1">
    <w:name w:val="s_16"/>
    <w:basedOn w:val="6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3" w:customStyle="1">
    <w:name w:val="s_1"/>
    <w:basedOn w:val="6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6678E16-2A79-4325-A1D2-5C19A9273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revision>11</cp:revision>
  <dcterms:created xsi:type="dcterms:W3CDTF">2022-04-08T01:03:00Z</dcterms:created>
  <dcterms:modified xsi:type="dcterms:W3CDTF">2024-02-08T06:50:42Z</dcterms:modified>
</cp:coreProperties>
</file>