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ind w:right="2"/>
        <w:jc w:val="center"/>
        <w:spacing w:line="240" w:lineRule="auto"/>
        <w:rPr>
          <w:b/>
          <w:bCs/>
        </w:rPr>
      </w:pPr>
      <w:r>
        <w:rPr>
          <w:b/>
        </w:rPr>
        <w:t xml:space="preserve">Вниманию руководителей </w:t>
      </w:r>
      <w:r>
        <w:rPr>
          <w:b/>
        </w:rPr>
      </w:r>
    </w:p>
    <w:p>
      <w:pPr>
        <w:pStyle w:val="622"/>
        <w:ind w:right="2"/>
        <w:jc w:val="center"/>
        <w:spacing w:line="240" w:lineRule="auto"/>
        <w:rPr>
          <w:b/>
          <w:bCs/>
        </w:rPr>
      </w:pPr>
      <w:r>
        <w:rPr>
          <w:b/>
        </w:rPr>
        <w:t xml:space="preserve">торгово – сервисных предприятий, осуществляющих деятельность </w:t>
      </w:r>
      <w:r>
        <w:rPr>
          <w:b/>
          <w:bCs/>
        </w:rPr>
      </w:r>
    </w:p>
    <w:p>
      <w:pPr>
        <w:pStyle w:val="622"/>
        <w:ind w:right="2"/>
        <w:jc w:val="center"/>
        <w:spacing w:line="240" w:lineRule="auto"/>
        <w:rPr>
          <w:b/>
          <w:bCs/>
        </w:rPr>
      </w:pPr>
      <w:r>
        <w:rPr>
          <w:b/>
        </w:rPr>
        <w:t xml:space="preserve">на территории </w:t>
      </w:r>
      <w:r>
        <w:rPr>
          <w:b/>
        </w:rPr>
        <w:t xml:space="preserve">Уссурийского городского округа</w:t>
      </w:r>
      <w:r>
        <w:rPr>
          <w:b/>
        </w:rPr>
        <w:t xml:space="preserve">!</w:t>
      </w:r>
      <w:r/>
      <w:r/>
    </w:p>
    <w:p>
      <w:pPr>
        <w:pStyle w:val="622"/>
        <w:ind w:right="646"/>
        <w:jc w:val="center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</w:r>
      <w:r>
        <w:rPr>
          <w:b/>
          <w:color w:val="17365d" w:themeColor="text2" w:themeShade="BF"/>
        </w:rPr>
      </w:r>
    </w:p>
    <w:p>
      <w:pPr>
        <w:ind w:left="102" w:right="329" w:firstLine="709"/>
        <w:jc w:val="both"/>
        <w:spacing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Дальневосточным ГУ Банка России разработан Порядок присоединения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торгово-сервисных предприятий (далее – ТСП) к оказанию услуги «наличные</w:t>
      </w:r>
      <w:r>
        <w:rPr>
          <w:rFonts w:ascii="Times New Roman" w:hAnsi="Times New Roman" w:eastAsia="Times New Roman" w:cs="Times New Roman"/>
          <w:color w:val="000000"/>
          <w:spacing w:val="-68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на кассе» (выдача держателям платежных карт наличных денежных средств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одновременно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 покупкой).</w:t>
      </w:r>
      <w:r/>
    </w:p>
    <w:p>
      <w:pPr>
        <w:ind w:firstLine="709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Преимущества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для ТСП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Тысячи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владельцев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торгово-сервисных предп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уже оценили конкурентные преимущества, которые получает их бизнес благодаря услуге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наличные на кассе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3"/>
        <w:numPr>
          <w:ilvl w:val="0"/>
          <w:numId w:val="1"/>
        </w:numPr>
        <w:ind w:left="426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привлечение новых и удержание старых клиентов за счет расширения сервиса предоставляемых 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3"/>
        <w:numPr>
          <w:ilvl w:val="0"/>
          <w:numId w:val="1"/>
        </w:numPr>
        <w:ind w:left="426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получение дополнительного дохода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анк выплачивает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вознаграждение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3"/>
        <w:numPr>
          <w:ilvl w:val="0"/>
          <w:numId w:val="1"/>
        </w:numPr>
        <w:ind w:left="426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увеличение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объема продаж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так как услуга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наличные на кассе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возможна только с покупкой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3"/>
        <w:numPr>
          <w:ilvl w:val="0"/>
          <w:numId w:val="1"/>
        </w:numPr>
        <w:ind w:left="426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снижение издержек на инкассацию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3"/>
        <w:numPr>
          <w:ilvl w:val="0"/>
          <w:numId w:val="1"/>
        </w:numPr>
        <w:ind w:left="426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сть участия в мотивационных программах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before="160"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ладельц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ТСП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должны обеспечить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623"/>
        <w:numPr>
          <w:ilvl w:val="0"/>
          <w:numId w:val="1"/>
        </w:numPr>
        <w:ind w:left="426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обучени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персонала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поставщик кассового программного обеспечения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(ПО)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 инструкции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описание функционала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3"/>
        <w:numPr>
          <w:ilvl w:val="0"/>
          <w:numId w:val="1"/>
        </w:numPr>
        <w:ind w:left="426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покупателей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условиям проведения операции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наличные на кассе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 момента проведения операции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3"/>
        <w:numPr>
          <w:ilvl w:val="0"/>
          <w:numId w:val="1"/>
        </w:numPr>
        <w:ind w:left="426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отражение в бухгалтерском и налоговом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банковского платежного агента (БПА)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3"/>
        <w:numPr>
          <w:ilvl w:val="0"/>
          <w:numId w:val="1"/>
        </w:numPr>
        <w:ind w:left="426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прохождение периодической проверки по требованию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Порядок действий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того чтобы начать предоставлять услугу населению по выдаче наличных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кассе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ТСП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необходимо выполнить следующие шаги.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3"/>
        <w:ind w:left="34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Иметь действующий/заключить договор эквайринга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3"/>
        <w:ind w:left="34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Заключить типовой договор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анком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выполнении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функций БПА по выдаче наличных денежных средств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может быть в 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дополнительного согла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шения при наличии договора торгового эквайринга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3"/>
        <w:ind w:left="34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арегистрировать в Федеральной налоговой службе (далее – ФНС)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ОКВЭД 66.19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Деятельность вспомогательная прочая в сфере финансовых услуг, кроме страхования и пенсионного обеспечения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(используемая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контрольно-кассовая техника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также должна быть зарегистрирована в ФНС)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3"/>
        <w:ind w:left="34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Провести настройку ККТ (кассового ПО)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3"/>
        <w:ind w:left="34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азместить в помещении ТСП в уголке потребителя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цию о деятельности БПА,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необходимую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клиентам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Настройка оборудования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После заключения договора БПА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зависимости от модели оборудования, установленного в ТСП в рамках договора торгового эквайринга, либо удаленно обновл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либо замен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оборудовани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модель, поддерживающую необходимый функционал.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Банк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уведомляет ТСП о необходимости доработки кассового ПО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желанию ТСП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подключает предоставленное оборудование к кассе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случаях, когда ТСП использует какие-то иные модели кассового оборудования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 из числа рекомендованных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анком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 проводит доработ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кассового ПО, 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оказать поддержку при взаимодействии между ТСП и обслуживающей организац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ией, дорабатывающей кассовое ПО.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Обучение персонала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Банк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дает рекомендации и общую информацию по работе при оказании услуги БПА. ТСП самостоятельно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организует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подготовку и обучение персонала на основании 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полученной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банка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обслуживающей организации, предоставляющей кассовое ПО.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Процесс проверки качества работы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Банк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ирует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соблюдение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ТСП требований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Договора о выполнении функций БПА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действующего законодательства к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качестве БПА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может проводиться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том числе удаленн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02" w:right="3" w:firstLine="709"/>
        <w:jc w:val="both"/>
        <w:spacing w:line="276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Дополнительно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данной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информацией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можно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ознакомиться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сайте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Банка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России,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отсканировав QR-код: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102" w:right="329" w:firstLine="709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center"/>
        <w:spacing w:before="11" w:line="28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95350" cy="8953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41353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95349" cy="895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0.50pt;height:70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  <w:br/>
      </w:r>
      <w:r/>
    </w:p>
    <w:p>
      <w:pPr>
        <w:ind w:left="102" w:right="3" w:firstLine="709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В случае возникновения вопросов необходимо обращаться к ведущему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экономисту Управления платежных систем и расчетов Дальневосточного              ГУ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Банка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России Загний Алексею Витальевичу (</w:t>
      </w:r>
      <w:hyperlink r:id="rId10" w:tooltip="mailto:ZagniyAV@cbr.ru" w:history="1">
        <w:r>
          <w:rPr>
            <w:rStyle w:val="629"/>
            <w:rFonts w:ascii="Times New Roman" w:hAnsi="Times New Roman" w:eastAsia="Times New Roman" w:cs="Times New Roman"/>
            <w:color w:val="0000ff"/>
            <w:sz w:val="28"/>
            <w:u w:val="single"/>
          </w:rPr>
          <w:t xml:space="preserve">ZagniyAV@cbr.ru</w:t>
        </w:r>
      </w:hyperlink>
      <w:r>
        <w:rPr>
          <w:rFonts w:ascii="Times New Roman" w:hAnsi="Times New Roman" w:eastAsia="Times New Roman" w:cs="Times New Roman"/>
          <w:color w:val="000000"/>
          <w:sz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pacing w:val="-68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                    8 (423) 222-26-60).</w:t>
      </w:r>
      <w:r/>
    </w:p>
    <w:p>
      <w:pPr>
        <w:ind w:left="102" w:right="3" w:firstLine="709"/>
        <w:spacing w:before="11" w:line="28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622"/>
        <w:ind w:right="689" w:firstLine="709"/>
        <w:jc w:val="right"/>
        <w:spacing w:before="89" w:line="295" w:lineRule="auto"/>
        <w:tabs>
          <w:tab w:val="left" w:pos="9923" w:leader="none"/>
        </w:tabs>
      </w:pPr>
      <w:r/>
      <w:r/>
    </w:p>
    <w:sectPr>
      <w:footnotePr/>
      <w:endnotePr/>
      <w:type w:val="continuous"/>
      <w:pgSz w:w="11910" w:h="16840" w:orient="portrait"/>
      <w:pgMar w:top="697" w:right="851" w:bottom="295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2149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2">
    <w:name w:val="Body Text"/>
    <w:basedOn w:val="617"/>
    <w:uiPriority w:val="1"/>
    <w:qFormat/>
    <w:rPr>
      <w:sz w:val="28"/>
      <w:szCs w:val="28"/>
    </w:rPr>
  </w:style>
  <w:style w:type="paragraph" w:styleId="623">
    <w:name w:val="List Paragraph"/>
    <w:basedOn w:val="617"/>
    <w:uiPriority w:val="1"/>
    <w:qFormat/>
  </w:style>
  <w:style w:type="paragraph" w:styleId="624" w:customStyle="1">
    <w:name w:val="Table Paragraph"/>
    <w:basedOn w:val="617"/>
    <w:uiPriority w:val="1"/>
    <w:qFormat/>
  </w:style>
  <w:style w:type="paragraph" w:styleId="625">
    <w:name w:val="Balloon Text"/>
    <w:basedOn w:val="617"/>
    <w:link w:val="626"/>
    <w:uiPriority w:val="99"/>
    <w:semiHidden/>
    <w:unhideWhenUsed/>
    <w:rPr>
      <w:rFonts w:ascii="Tahoma" w:hAnsi="Tahoma" w:cs="Tahoma"/>
      <w:sz w:val="16"/>
      <w:szCs w:val="16"/>
    </w:rPr>
  </w:style>
  <w:style w:type="character" w:styleId="626" w:customStyle="1">
    <w:name w:val="Текст выноски Знак"/>
    <w:basedOn w:val="618"/>
    <w:link w:val="625"/>
    <w:uiPriority w:val="99"/>
    <w:semiHidden/>
    <w:rPr>
      <w:rFonts w:ascii="Tahoma" w:hAnsi="Tahoma" w:eastAsia="Times New Roman" w:cs="Tahoma"/>
      <w:sz w:val="16"/>
      <w:szCs w:val="16"/>
      <w:lang w:val="ru-RU"/>
    </w:rPr>
  </w:style>
  <w:style w:type="character" w:styleId="627" w:customStyle="1">
    <w:name w:val="Основной текст (2)_"/>
    <w:link w:val="628"/>
    <w:uiPriority w:val="99"/>
    <w:rPr>
      <w:sz w:val="27"/>
      <w:szCs w:val="27"/>
      <w:shd w:val="clear" w:color="auto" w:fill="ffffff"/>
    </w:rPr>
  </w:style>
  <w:style w:type="paragraph" w:styleId="628" w:customStyle="1">
    <w:name w:val="Основной текст (2)1"/>
    <w:basedOn w:val="617"/>
    <w:link w:val="627"/>
    <w:uiPriority w:val="99"/>
    <w:pPr>
      <w:spacing w:line="322" w:lineRule="exact"/>
      <w:shd w:val="clear" w:color="auto" w:fill="ffffff"/>
    </w:pPr>
    <w:rPr>
      <w:rFonts w:asciiTheme="minorHAnsi" w:hAnsiTheme="minorHAnsi" w:eastAsiaTheme="minorHAnsi" w:cstheme="minorBidi"/>
      <w:sz w:val="27"/>
      <w:szCs w:val="27"/>
      <w:lang w:val="en-US"/>
    </w:rPr>
  </w:style>
  <w:style w:type="character" w:styleId="629">
    <w:name w:val="Hyperlink"/>
    <w:basedOn w:val="618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ZagniyAV@cb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2022-07-20T02:59:00Z</dcterms:created>
  <dcterms:modified xsi:type="dcterms:W3CDTF">2024-02-19T04:15:17Z</dcterms:modified>
</cp:coreProperties>
</file>