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8714DE" w:rsidRPr="008714DE" w:rsidRDefault="008714DE" w:rsidP="0087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714DE">
        <w:rPr>
          <w:rFonts w:ascii="Arial" w:hAnsi="Arial" w:cs="Arial"/>
          <w:b/>
          <w:bCs/>
          <w:sz w:val="28"/>
          <w:szCs w:val="28"/>
        </w:rPr>
        <w:t>Вопрос:</w:t>
      </w:r>
      <w:r w:rsidRPr="008714DE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8714DE">
        <w:rPr>
          <w:rFonts w:ascii="Arial" w:hAnsi="Arial" w:cs="Arial"/>
          <w:sz w:val="28"/>
          <w:szCs w:val="28"/>
        </w:rPr>
        <w:t>Об имущественном вычете по НДФЛ по расходам на строительство либо приобретение недвижимости</w:t>
      </w:r>
      <w:bookmarkEnd w:id="0"/>
      <w:r w:rsidRPr="008714DE">
        <w:rPr>
          <w:rFonts w:ascii="Arial" w:hAnsi="Arial" w:cs="Arial"/>
          <w:sz w:val="28"/>
          <w:szCs w:val="28"/>
        </w:rPr>
        <w:t>, а также на погашение процентов по целевым займам (кредитам), в том числе в иностранной валюте.</w:t>
      </w:r>
    </w:p>
    <w:p w:rsidR="008714DE" w:rsidRPr="008714DE" w:rsidRDefault="008714DE" w:rsidP="008714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8714DE" w:rsidRPr="008714DE" w:rsidRDefault="008714DE" w:rsidP="0087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714DE">
        <w:rPr>
          <w:rFonts w:ascii="Arial" w:hAnsi="Arial" w:cs="Arial"/>
          <w:b/>
          <w:bCs/>
          <w:sz w:val="28"/>
          <w:szCs w:val="28"/>
        </w:rPr>
        <w:t>Ответ:</w:t>
      </w:r>
    </w:p>
    <w:p w:rsidR="008714DE" w:rsidRPr="008714DE" w:rsidRDefault="008714DE" w:rsidP="008714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14DE" w:rsidRPr="008714DE" w:rsidRDefault="008714DE" w:rsidP="0087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714DE">
        <w:rPr>
          <w:rFonts w:ascii="Arial" w:hAnsi="Arial" w:cs="Arial"/>
          <w:sz w:val="28"/>
          <w:szCs w:val="28"/>
        </w:rPr>
        <w:t xml:space="preserve">Департамент налоговой политики рассмотрел обращение от 22.06.2021 по вопросу предоставления имущественного налогового вычета по налогу на доходы физических лиц и в соответствии со </w:t>
      </w:r>
      <w:hyperlink r:id="rId10" w:history="1">
        <w:r w:rsidRPr="008714DE">
          <w:rPr>
            <w:rFonts w:ascii="Arial" w:hAnsi="Arial" w:cs="Arial"/>
            <w:sz w:val="28"/>
            <w:szCs w:val="28"/>
          </w:rPr>
          <w:t>статьей 34.2</w:t>
        </w:r>
      </w:hyperlink>
      <w:r w:rsidRPr="008714DE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Кодекс) разъясняет следующее.</w:t>
      </w:r>
    </w:p>
    <w:p w:rsidR="008714DE" w:rsidRPr="008714DE" w:rsidRDefault="008714DE" w:rsidP="00871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8714DE">
        <w:rPr>
          <w:rFonts w:ascii="Arial" w:hAnsi="Arial" w:cs="Arial"/>
          <w:sz w:val="28"/>
          <w:szCs w:val="28"/>
        </w:rPr>
        <w:t xml:space="preserve">В соответствии с </w:t>
      </w:r>
      <w:hyperlink r:id="rId11" w:history="1">
        <w:r w:rsidRPr="008714DE">
          <w:rPr>
            <w:rFonts w:ascii="Arial" w:hAnsi="Arial" w:cs="Arial"/>
            <w:sz w:val="28"/>
            <w:szCs w:val="28"/>
          </w:rPr>
          <w:t>подпунктом 3 пункта 1 статьи 220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 при определении размера налоговых баз в соответствии с </w:t>
      </w:r>
      <w:hyperlink r:id="rId12" w:history="1">
        <w:r w:rsidRPr="008714DE">
          <w:rPr>
            <w:rFonts w:ascii="Arial" w:hAnsi="Arial" w:cs="Arial"/>
            <w:sz w:val="28"/>
            <w:szCs w:val="28"/>
          </w:rPr>
          <w:t>пунктами 3</w:t>
        </w:r>
      </w:hyperlink>
      <w:r w:rsidRPr="008714DE">
        <w:rPr>
          <w:rFonts w:ascii="Arial" w:hAnsi="Arial" w:cs="Arial"/>
          <w:sz w:val="28"/>
          <w:szCs w:val="28"/>
        </w:rPr>
        <w:t xml:space="preserve"> или </w:t>
      </w:r>
      <w:hyperlink r:id="rId13" w:history="1">
        <w:r w:rsidRPr="008714DE">
          <w:rPr>
            <w:rFonts w:ascii="Arial" w:hAnsi="Arial" w:cs="Arial"/>
            <w:sz w:val="28"/>
            <w:szCs w:val="28"/>
          </w:rPr>
          <w:t>6 статьи 210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</w:t>
      </w:r>
      <w:proofErr w:type="gramEnd"/>
      <w:r w:rsidRPr="008714DE">
        <w:rPr>
          <w:rFonts w:ascii="Arial" w:hAnsi="Arial" w:cs="Arial"/>
          <w:sz w:val="28"/>
          <w:szCs w:val="28"/>
        </w:rPr>
        <w:t xml:space="preserve">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 При этом согласно </w:t>
      </w:r>
      <w:hyperlink r:id="rId14" w:history="1">
        <w:r w:rsidRPr="008714DE">
          <w:rPr>
            <w:rFonts w:ascii="Arial" w:hAnsi="Arial" w:cs="Arial"/>
            <w:sz w:val="28"/>
            <w:szCs w:val="28"/>
          </w:rPr>
          <w:t>подпункту 1 пункта 3 статьи 220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 размер имущественного налогового вычета не может превышать 2 000 000 рублей.</w:t>
      </w:r>
    </w:p>
    <w:p w:rsidR="008714DE" w:rsidRPr="008714DE" w:rsidRDefault="008714DE" w:rsidP="00871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714DE">
        <w:rPr>
          <w:rFonts w:ascii="Arial" w:hAnsi="Arial" w:cs="Arial"/>
          <w:sz w:val="28"/>
          <w:szCs w:val="28"/>
        </w:rPr>
        <w:t xml:space="preserve">На основании </w:t>
      </w:r>
      <w:hyperlink r:id="rId15" w:history="1">
        <w:r w:rsidRPr="008714DE">
          <w:rPr>
            <w:rFonts w:ascii="Arial" w:hAnsi="Arial" w:cs="Arial"/>
            <w:sz w:val="28"/>
            <w:szCs w:val="28"/>
          </w:rPr>
          <w:t>подпункта 7 пункта 3 статьи 220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расходы.</w:t>
      </w:r>
    </w:p>
    <w:p w:rsidR="008714DE" w:rsidRPr="008714DE" w:rsidRDefault="008714DE" w:rsidP="00871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8714DE">
        <w:rPr>
          <w:rFonts w:ascii="Arial" w:hAnsi="Arial" w:cs="Arial"/>
          <w:sz w:val="28"/>
          <w:szCs w:val="28"/>
        </w:rPr>
        <w:t xml:space="preserve">Вместе с тем </w:t>
      </w:r>
      <w:hyperlink r:id="rId16" w:history="1">
        <w:r w:rsidRPr="008714DE">
          <w:rPr>
            <w:rFonts w:ascii="Arial" w:hAnsi="Arial" w:cs="Arial"/>
            <w:sz w:val="28"/>
            <w:szCs w:val="28"/>
          </w:rPr>
          <w:t>подпунктом 4 пункта 1 статьи 220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 предусмотрено право налогоплательщика на получение имущественного налогового вычета в сумме фактически </w:t>
      </w:r>
      <w:r w:rsidRPr="008714DE">
        <w:rPr>
          <w:rFonts w:ascii="Arial" w:hAnsi="Arial" w:cs="Arial"/>
          <w:sz w:val="28"/>
          <w:szCs w:val="28"/>
        </w:rPr>
        <w:lastRenderedPageBreak/>
        <w:t>произведенных налогоплательщиком расходов на погашение процентов по целевым займам (кредитам), фактически израсходованным, в частности,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</w:t>
      </w:r>
      <w:proofErr w:type="gramEnd"/>
      <w:r w:rsidRPr="008714DE">
        <w:rPr>
          <w:rFonts w:ascii="Arial" w:hAnsi="Arial" w:cs="Arial"/>
          <w:sz w:val="28"/>
          <w:szCs w:val="28"/>
        </w:rPr>
        <w:t xml:space="preserve">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 </w:t>
      </w:r>
      <w:proofErr w:type="gramStart"/>
      <w:r w:rsidRPr="008714DE">
        <w:rPr>
          <w:rFonts w:ascii="Arial" w:hAnsi="Arial" w:cs="Arial"/>
          <w:sz w:val="28"/>
          <w:szCs w:val="28"/>
        </w:rPr>
        <w:t xml:space="preserve">При этом в соответствии с </w:t>
      </w:r>
      <w:hyperlink r:id="rId17" w:history="1">
        <w:r w:rsidRPr="008714DE">
          <w:rPr>
            <w:rFonts w:ascii="Arial" w:hAnsi="Arial" w:cs="Arial"/>
            <w:sz w:val="28"/>
            <w:szCs w:val="28"/>
          </w:rPr>
          <w:t>пунктом 4 статьи 220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 данный 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рублей, при наличии документов, подтверждающих право на получение имущественного налогового вычета, указанных в </w:t>
      </w:r>
      <w:hyperlink r:id="rId18" w:history="1">
        <w:r w:rsidRPr="008714DE">
          <w:rPr>
            <w:rFonts w:ascii="Arial" w:hAnsi="Arial" w:cs="Arial"/>
            <w:sz w:val="28"/>
            <w:szCs w:val="28"/>
          </w:rPr>
          <w:t>пункте 3 статьи 220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Кодекса, договора займа (кредита), а также документов</w:t>
      </w:r>
      <w:proofErr w:type="gramEnd"/>
      <w:r w:rsidRPr="008714DE">
        <w:rPr>
          <w:rFonts w:ascii="Arial" w:hAnsi="Arial" w:cs="Arial"/>
          <w:sz w:val="28"/>
          <w:szCs w:val="28"/>
        </w:rPr>
        <w:t>, подтверждающих факт уплаты денежных средств налогоплательщиком в погашение процентов.</w:t>
      </w:r>
    </w:p>
    <w:p w:rsidR="008714DE" w:rsidRPr="008714DE" w:rsidRDefault="008714DE" w:rsidP="00871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714DE">
        <w:rPr>
          <w:rFonts w:ascii="Arial" w:hAnsi="Arial" w:cs="Arial"/>
          <w:sz w:val="28"/>
          <w:szCs w:val="28"/>
        </w:rPr>
        <w:t xml:space="preserve">С учетом положений </w:t>
      </w:r>
      <w:hyperlink r:id="rId19" w:history="1">
        <w:r w:rsidRPr="008714DE">
          <w:rPr>
            <w:rFonts w:ascii="Arial" w:hAnsi="Arial" w:cs="Arial"/>
            <w:sz w:val="28"/>
            <w:szCs w:val="28"/>
          </w:rPr>
          <w:t>пункта 5 статьи 210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 расходы налогоплательщика, принимаемые к вычету в соответствии со </w:t>
      </w:r>
      <w:hyperlink r:id="rId20" w:history="1">
        <w:r w:rsidRPr="008714DE">
          <w:rPr>
            <w:rFonts w:ascii="Arial" w:hAnsi="Arial" w:cs="Arial"/>
            <w:sz w:val="28"/>
            <w:szCs w:val="28"/>
          </w:rPr>
          <w:t>статьей 220</w:t>
        </w:r>
      </w:hyperlink>
      <w:r w:rsidRPr="008714DE">
        <w:rPr>
          <w:rFonts w:ascii="Arial" w:hAnsi="Arial" w:cs="Arial"/>
          <w:sz w:val="28"/>
          <w:szCs w:val="28"/>
        </w:rPr>
        <w:t xml:space="preserve"> Кодекса, выраженные (номинированные) в иностранной валюте, пересчитываются в рубли по официальному курсу Центрального банка Российской Федерации, установленному на дату фактического осуществления указанных расходов.</w:t>
      </w:r>
    </w:p>
    <w:p w:rsidR="004564F5" w:rsidRPr="008714DE" w:rsidRDefault="004564F5" w:rsidP="00871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8714DE" w:rsidRDefault="008714DE" w:rsidP="008714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8714DE" w:rsidRPr="008714DE" w:rsidRDefault="008714DE" w:rsidP="008714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8714DE">
        <w:rPr>
          <w:rFonts w:ascii="Arial" w:hAnsi="Arial" w:cs="Arial"/>
          <w:b/>
          <w:sz w:val="28"/>
          <w:szCs w:val="28"/>
        </w:rPr>
        <w:t>Ответ: Письмо Минфина России от 06.08.2021 N 03-04-05/63391</w:t>
      </w:r>
    </w:p>
    <w:sectPr w:rsidR="008714DE" w:rsidRPr="008714DE" w:rsidSect="00156A6E">
      <w:footerReference w:type="default" r:id="rId2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564F5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4D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2B77AD336D562794754C2F90EAC381506003E683B3F0B23207C4D3A6BC91797CF4D96D7205D68FD452602CCCE1EBA1CCBD6C57AED1B9767CF" TargetMode="External"/><Relationship Id="rId18" Type="http://schemas.openxmlformats.org/officeDocument/2006/relationships/hyperlink" Target="consultantplus://offline/ref=0A2B77AD336D562794754C2F90EAC381506003E683B3F0B23207C4D3A6BC91797CF4D9647F09D1858B57753D94ECEABED2B47B4BACD37B7A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2B77AD336D562794754C2F90EAC381506003E683B3F0B23207C4D3A6BC91797CF4D96D7205D18BD452602CCCE1EBA1CCBD6C57AED1B9767CF" TargetMode="External"/><Relationship Id="rId17" Type="http://schemas.openxmlformats.org/officeDocument/2006/relationships/hyperlink" Target="consultantplus://offline/ref=0A2B77AD336D562794754C2F90EAC381506003E683B3F0B23207C4D3A6BC91797CF4D96E7B08D18CD452602CCCE1EBA1CCBD6C57AED1B9767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2B77AD336D562794754C2F90EAC381506003E683B3F0B23207C4D3A6BC91797CF4D96D730ED78CD452602CCCE1EBA1CCBD6C57AED1B9767CF" TargetMode="External"/><Relationship Id="rId20" Type="http://schemas.openxmlformats.org/officeDocument/2006/relationships/hyperlink" Target="consultantplus://offline/ref=0A2B77AD336D562794754C2F90EAC381506003E683B3F0B23207C4D3A6BC91797CF4D9647F0ED0858B57753D94ECEABED2B47B4BACD37B7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2B77AD336D562794754C2F90EAC381506003E683B3F0B23207C4D3A6BC91797CF4D9647F0ED4858B57753D94ECEABED2B47B4BACD37B7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2B77AD336D562794754C2F90EAC381506003E683B3F0B23207C4D3A6BC91797CF4D9647F0AD3858B57753D94ECEABED2B47B4BACD37B7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2B77AD336D562794754C2F90EAC381506003E780B2F0B23207C4D3A6BC91797CF4D96F7304D2858B57753D94ECEABED2B47B4BACD37B7AF" TargetMode="External"/><Relationship Id="rId19" Type="http://schemas.openxmlformats.org/officeDocument/2006/relationships/hyperlink" Target="consultantplus://offline/ref=0A2B77AD336D562794754C2F90EAC381506003E683B3F0B23207C4D3A6BC91797CF4D96D7D0DD18ED452602CCCE1EBA1CCBD6C57AED1B9767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A2B77AD336D562794754C2F90EAC381506003E683B3F0B23207C4D3A6BC91797CF4D9647F0FDA858B57753D94ECEABED2B47B4BACD37B7A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1D4E-95D5-4FC6-8A8C-D2BB1042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2021-09-01T06:02:00Z</dcterms:created>
  <dcterms:modified xsi:type="dcterms:W3CDTF">2021-09-01T06:02:00Z</dcterms:modified>
</cp:coreProperties>
</file>