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F8" w:rsidRPr="003A32F8" w:rsidRDefault="003A32F8" w:rsidP="003A32F8">
      <w:pPr>
        <w:autoSpaceDE w:val="0"/>
        <w:autoSpaceDN w:val="0"/>
        <w:adjustRightInd w:val="0"/>
        <w:spacing w:line="360" w:lineRule="exact"/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</w:t>
      </w:r>
      <w:bookmarkStart w:id="0" w:name="_GoBack"/>
      <w:bookmarkEnd w:id="0"/>
      <w:r w:rsidRPr="003A32F8">
        <w:rPr>
          <w:rFonts w:ascii="Arial" w:hAnsi="Arial" w:cs="Arial"/>
          <w:b/>
          <w:sz w:val="40"/>
          <w:szCs w:val="40"/>
        </w:rPr>
        <w:t>оэффициенты-дефляторы</w:t>
      </w:r>
    </w:p>
    <w:p w:rsidR="003A32F8" w:rsidRPr="003A32F8" w:rsidRDefault="003A32F8" w:rsidP="003A32F8">
      <w:pPr>
        <w:autoSpaceDE w:val="0"/>
        <w:autoSpaceDN w:val="0"/>
        <w:adjustRightInd w:val="0"/>
        <w:spacing w:line="360" w:lineRule="exact"/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3A32F8">
        <w:rPr>
          <w:rFonts w:ascii="Arial" w:hAnsi="Arial" w:cs="Arial"/>
          <w:b/>
          <w:sz w:val="40"/>
          <w:szCs w:val="40"/>
        </w:rPr>
        <w:t xml:space="preserve"> на 2021 год</w:t>
      </w:r>
    </w:p>
    <w:p w:rsidR="003A32F8" w:rsidRPr="003A32F8" w:rsidRDefault="003A32F8" w:rsidP="003A32F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3A32F8" w:rsidRPr="003A32F8" w:rsidRDefault="003A32F8" w:rsidP="003A32F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32"/>
          <w:szCs w:val="32"/>
        </w:rPr>
      </w:pPr>
    </w:p>
    <w:p w:rsidR="003A32F8" w:rsidRDefault="003A32F8" w:rsidP="003A32F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3A32F8">
        <w:rPr>
          <w:rFonts w:ascii="Arial" w:hAnsi="Arial" w:cs="Arial"/>
          <w:sz w:val="32"/>
          <w:szCs w:val="32"/>
        </w:rPr>
        <w:t>риказом Минэкономразвития России от 30.10.2020 № 720 «Об установлении коэффициентов-дефляторов на 2021 год» (зарегистрирован в Минюсте России 16.11.2020 № 60913) коэффициенты-дефляторы на 2021 год утверждены в следующих размерах:</w:t>
      </w:r>
    </w:p>
    <w:p w:rsidR="003A32F8" w:rsidRPr="003A32F8" w:rsidRDefault="003A32F8" w:rsidP="003A32F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Arial" w:hAnsi="Arial" w:cs="Arial"/>
          <w:sz w:val="32"/>
          <w:szCs w:val="32"/>
        </w:rPr>
      </w:pPr>
    </w:p>
    <w:p w:rsidR="003A32F8" w:rsidRDefault="003A32F8" w:rsidP="003A32F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Arial" w:hAnsi="Arial" w:cs="Arial"/>
          <w:sz w:val="32"/>
          <w:szCs w:val="32"/>
        </w:rPr>
      </w:pPr>
      <w:r w:rsidRPr="003A32F8">
        <w:rPr>
          <w:rFonts w:ascii="Arial" w:hAnsi="Arial" w:cs="Arial"/>
          <w:sz w:val="32"/>
          <w:szCs w:val="32"/>
        </w:rPr>
        <w:t>- коэффициент-дефлятор, необходимый в целях применения патентной системы налогообложения (далее – ПСН) установлен в размере 1,637;</w:t>
      </w:r>
    </w:p>
    <w:p w:rsidR="003A32F8" w:rsidRPr="003A32F8" w:rsidRDefault="003A32F8" w:rsidP="003A32F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Arial" w:hAnsi="Arial" w:cs="Arial"/>
          <w:sz w:val="32"/>
          <w:szCs w:val="32"/>
        </w:rPr>
      </w:pPr>
    </w:p>
    <w:p w:rsidR="003A32F8" w:rsidRDefault="003A32F8" w:rsidP="003A32F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Arial" w:hAnsi="Arial" w:cs="Arial"/>
          <w:sz w:val="32"/>
          <w:szCs w:val="32"/>
        </w:rPr>
      </w:pPr>
      <w:r w:rsidRPr="003A32F8">
        <w:rPr>
          <w:rFonts w:ascii="Arial" w:hAnsi="Arial" w:cs="Arial"/>
          <w:sz w:val="32"/>
          <w:szCs w:val="32"/>
        </w:rPr>
        <w:t>-коэффициент-дефлятор, необходимый в целях применения упрощенной системы налогообложения установлен в размере 1,032.</w:t>
      </w:r>
    </w:p>
    <w:p w:rsidR="003A32F8" w:rsidRPr="003A32F8" w:rsidRDefault="003A32F8" w:rsidP="003A32F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Arial" w:hAnsi="Arial" w:cs="Arial"/>
          <w:sz w:val="32"/>
          <w:szCs w:val="32"/>
        </w:rPr>
      </w:pPr>
    </w:p>
    <w:p w:rsidR="003A32F8" w:rsidRDefault="003A32F8" w:rsidP="003A32F8">
      <w:pPr>
        <w:spacing w:line="360" w:lineRule="exact"/>
        <w:ind w:firstLine="709"/>
        <w:jc w:val="both"/>
        <w:rPr>
          <w:rFonts w:ascii="Arial" w:hAnsi="Arial" w:cs="Arial"/>
          <w:sz w:val="32"/>
          <w:szCs w:val="32"/>
        </w:rPr>
      </w:pPr>
      <w:r w:rsidRPr="003A32F8">
        <w:rPr>
          <w:rFonts w:ascii="Arial" w:hAnsi="Arial" w:cs="Arial"/>
          <w:sz w:val="32"/>
          <w:szCs w:val="32"/>
        </w:rPr>
        <w:t>Приказ Минэкономразвития России от 30.10.2020 № 720 вступает в силу 27.11.2020</w:t>
      </w:r>
      <w:r>
        <w:rPr>
          <w:rFonts w:ascii="Arial" w:hAnsi="Arial" w:cs="Arial"/>
          <w:sz w:val="32"/>
          <w:szCs w:val="32"/>
        </w:rPr>
        <w:t xml:space="preserve"> года.</w:t>
      </w:r>
      <w:r w:rsidRPr="003A32F8">
        <w:rPr>
          <w:rFonts w:ascii="Arial" w:hAnsi="Arial" w:cs="Arial"/>
          <w:sz w:val="32"/>
          <w:szCs w:val="32"/>
        </w:rPr>
        <w:t xml:space="preserve"> </w:t>
      </w:r>
    </w:p>
    <w:p w:rsidR="003A32F8" w:rsidRPr="003A32F8" w:rsidRDefault="003A32F8" w:rsidP="003A32F8">
      <w:pPr>
        <w:spacing w:line="360" w:lineRule="exact"/>
        <w:ind w:firstLine="709"/>
        <w:jc w:val="both"/>
        <w:rPr>
          <w:rFonts w:ascii="Arial" w:hAnsi="Arial" w:cs="Arial"/>
          <w:sz w:val="32"/>
          <w:szCs w:val="32"/>
        </w:rPr>
      </w:pPr>
    </w:p>
    <w:p w:rsidR="003A32F8" w:rsidRPr="003A32F8" w:rsidRDefault="003A32F8" w:rsidP="003A32F8">
      <w:pPr>
        <w:spacing w:line="360" w:lineRule="exact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3A32F8">
        <w:rPr>
          <w:rFonts w:ascii="Arial" w:hAnsi="Arial" w:cs="Arial"/>
          <w:sz w:val="32"/>
          <w:szCs w:val="32"/>
        </w:rPr>
        <w:t xml:space="preserve"> соответствии с пунктами 7 и 9 статьи 346.43 НК РФ максимальный размер потенциально возможного к получению годового дохода при исчислении налога, уплачиваемого в связи с применением ПСН, на 2021 год на территории Приморского края не может превышать 1 637 000 рублей.</w:t>
      </w:r>
    </w:p>
    <w:p w:rsidR="003A32F8" w:rsidRPr="003A32F8" w:rsidRDefault="003A32F8" w:rsidP="003A32F8">
      <w:pPr>
        <w:spacing w:line="360" w:lineRule="exact"/>
        <w:rPr>
          <w:rFonts w:ascii="Arial" w:hAnsi="Arial" w:cs="Arial"/>
          <w:sz w:val="32"/>
          <w:szCs w:val="32"/>
        </w:rPr>
      </w:pPr>
    </w:p>
    <w:p w:rsidR="003A32F8" w:rsidRPr="003A32F8" w:rsidRDefault="003A32F8" w:rsidP="003A32F8">
      <w:pPr>
        <w:rPr>
          <w:rFonts w:ascii="Arial" w:hAnsi="Arial" w:cs="Arial"/>
          <w:sz w:val="32"/>
          <w:szCs w:val="32"/>
        </w:rPr>
      </w:pPr>
    </w:p>
    <w:p w:rsidR="000A0C77" w:rsidRPr="003A32F8" w:rsidRDefault="003A32F8">
      <w:pPr>
        <w:rPr>
          <w:rFonts w:ascii="Arial" w:hAnsi="Arial" w:cs="Arial"/>
        </w:rPr>
      </w:pPr>
    </w:p>
    <w:sectPr w:rsidR="000A0C77" w:rsidRPr="003A32F8" w:rsidSect="003A32F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F8" w:rsidRDefault="003A32F8" w:rsidP="003A32F8">
      <w:r>
        <w:separator/>
      </w:r>
    </w:p>
  </w:endnote>
  <w:endnote w:type="continuationSeparator" w:id="0">
    <w:p w:rsidR="003A32F8" w:rsidRDefault="003A32F8" w:rsidP="003A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8" w:rsidRDefault="003A32F8">
    <w:pPr>
      <w:pStyle w:val="a5"/>
    </w:pPr>
    <w:r>
      <w:rPr>
        <w:noProof/>
      </w:rPr>
      <w:drawing>
        <wp:inline distT="0" distB="0" distL="0" distR="0" wp14:anchorId="3B7F7A39" wp14:editId="2480A803">
          <wp:extent cx="63627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517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F8" w:rsidRDefault="003A32F8" w:rsidP="003A32F8">
      <w:r>
        <w:separator/>
      </w:r>
    </w:p>
  </w:footnote>
  <w:footnote w:type="continuationSeparator" w:id="0">
    <w:p w:rsidR="003A32F8" w:rsidRDefault="003A32F8" w:rsidP="003A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F8"/>
    <w:rsid w:val="003A32F8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3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3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2020-11-25T01:39:00Z</dcterms:created>
  <dcterms:modified xsi:type="dcterms:W3CDTF">2020-11-25T01:42:00Z</dcterms:modified>
</cp:coreProperties>
</file>