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9" w:rsidRPr="00033D19" w:rsidRDefault="00033D19">
      <w:pPr>
        <w:pStyle w:val="ConsPlusNormal"/>
        <w:jc w:val="both"/>
        <w:outlineLvl w:val="0"/>
        <w:rPr>
          <w:rFonts w:ascii="Arial" w:eastAsia="BatangChe" w:hAnsi="Arial" w:cs="Arial"/>
          <w:sz w:val="24"/>
          <w:szCs w:val="24"/>
        </w:rPr>
      </w:pPr>
    </w:p>
    <w:p w:rsidR="00A06C62" w:rsidRPr="00A06C62" w:rsidRDefault="00A06C62" w:rsidP="00A06C62">
      <w:pPr>
        <w:pStyle w:val="ConsPlusNormal"/>
        <w:ind w:firstLine="540"/>
        <w:jc w:val="center"/>
        <w:rPr>
          <w:rFonts w:ascii="Arial" w:eastAsia="BatangChe" w:hAnsi="Arial" w:cs="Arial"/>
          <w:b/>
          <w:sz w:val="32"/>
          <w:szCs w:val="32"/>
        </w:rPr>
      </w:pPr>
      <w:r w:rsidRPr="00A06C62">
        <w:rPr>
          <w:rFonts w:ascii="Arial" w:eastAsia="BatangChe" w:hAnsi="Arial" w:cs="Arial"/>
          <w:b/>
          <w:sz w:val="32"/>
          <w:szCs w:val="32"/>
        </w:rPr>
        <w:t xml:space="preserve">Налоговая база для исчисления </w:t>
      </w:r>
    </w:p>
    <w:p w:rsidR="00A06C62" w:rsidRPr="00A06C62" w:rsidRDefault="00A06C62" w:rsidP="00A06C62">
      <w:pPr>
        <w:pStyle w:val="ConsPlusNormal"/>
        <w:ind w:firstLine="540"/>
        <w:jc w:val="center"/>
        <w:rPr>
          <w:rFonts w:ascii="Arial" w:eastAsia="BatangChe" w:hAnsi="Arial" w:cs="Arial"/>
          <w:b/>
          <w:sz w:val="32"/>
          <w:szCs w:val="32"/>
        </w:rPr>
      </w:pPr>
      <w:r w:rsidRPr="00A06C62">
        <w:rPr>
          <w:rFonts w:ascii="Arial" w:eastAsia="BatangChe" w:hAnsi="Arial" w:cs="Arial"/>
          <w:b/>
          <w:sz w:val="32"/>
          <w:szCs w:val="32"/>
        </w:rPr>
        <w:t xml:space="preserve"> НДФЛ и страховых взносов</w:t>
      </w:r>
    </w:p>
    <w:p w:rsidR="00A06C62" w:rsidRPr="00A06C62" w:rsidRDefault="00A06C62">
      <w:pPr>
        <w:pStyle w:val="ConsPlusNormal"/>
        <w:ind w:firstLine="540"/>
        <w:jc w:val="both"/>
        <w:rPr>
          <w:rFonts w:ascii="Arial" w:eastAsia="BatangChe" w:hAnsi="Arial" w:cs="Arial"/>
          <w:b/>
          <w:sz w:val="28"/>
          <w:szCs w:val="28"/>
        </w:rPr>
      </w:pPr>
    </w:p>
    <w:p w:rsidR="00033D19" w:rsidRPr="00A06C62" w:rsidRDefault="00033D19" w:rsidP="00A06C62">
      <w:pPr>
        <w:pStyle w:val="ConsPlusNormal"/>
        <w:ind w:firstLine="540"/>
        <w:jc w:val="center"/>
        <w:rPr>
          <w:rFonts w:ascii="Arial" w:eastAsia="BatangChe" w:hAnsi="Arial" w:cs="Arial"/>
          <w:i/>
          <w:sz w:val="28"/>
          <w:szCs w:val="28"/>
        </w:rPr>
      </w:pPr>
      <w:r w:rsidRPr="00A06C62">
        <w:rPr>
          <w:rFonts w:ascii="Arial" w:eastAsia="BatangChe" w:hAnsi="Arial" w:cs="Arial"/>
          <w:i/>
          <w:sz w:val="28"/>
          <w:szCs w:val="28"/>
        </w:rPr>
        <w:t>Об НДФЛ и страховых взносах с сумм материальной помощи, выплачиваемой работникам организации.</w:t>
      </w:r>
    </w:p>
    <w:p w:rsidR="00033D19" w:rsidRPr="00A06C62" w:rsidRDefault="00033D19" w:rsidP="00A06C62">
      <w:pPr>
        <w:pStyle w:val="ConsPlusNormal"/>
        <w:jc w:val="center"/>
        <w:rPr>
          <w:rFonts w:ascii="Arial" w:eastAsia="BatangChe" w:hAnsi="Arial" w:cs="Arial"/>
          <w:i/>
          <w:sz w:val="28"/>
          <w:szCs w:val="28"/>
        </w:rPr>
      </w:pPr>
    </w:p>
    <w:p w:rsidR="00033D19" w:rsidRPr="00A06C62" w:rsidRDefault="00033D19">
      <w:pPr>
        <w:pStyle w:val="ConsPlusNormal"/>
        <w:jc w:val="both"/>
        <w:rPr>
          <w:rFonts w:ascii="Arial" w:eastAsia="BatangChe" w:hAnsi="Arial" w:cs="Arial"/>
          <w:sz w:val="28"/>
          <w:szCs w:val="28"/>
        </w:rPr>
      </w:pPr>
    </w:p>
    <w:p w:rsidR="00033D19" w:rsidRPr="00A06C62" w:rsidRDefault="00033D19">
      <w:pPr>
        <w:pStyle w:val="ConsPlusNormal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>Федеральная налоговая служба рассмотрела интернет-обращение ООО от 29.06.2020 по вопросу обложения налогом на доходы физических лиц и страховыми взносами сумм материальной помощи, оказываемой организацией своим сотрудникам, и сообщает следующее.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>1. По налогу на доходы физических лиц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В соответствии с </w:t>
      </w:r>
      <w:hyperlink r:id="rId7" w:history="1">
        <w:r w:rsidRPr="00A06C62">
          <w:rPr>
            <w:rFonts w:ascii="Arial" w:eastAsia="BatangChe" w:hAnsi="Arial" w:cs="Arial"/>
            <w:sz w:val="28"/>
            <w:szCs w:val="28"/>
          </w:rPr>
          <w:t>пунктом 1 статьи 210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Налогового кодекса Российской Федерации (далее - Кодекс) при определении налоговой базы учитываются все доходы налогоплательщика, полученные им как в денежной, так и в натуральной форме, или право на </w:t>
      </w:r>
      <w:proofErr w:type="gramStart"/>
      <w:r w:rsidRPr="00A06C62">
        <w:rPr>
          <w:rFonts w:ascii="Arial" w:eastAsia="BatangChe" w:hAnsi="Arial" w:cs="Arial"/>
          <w:sz w:val="28"/>
          <w:szCs w:val="28"/>
        </w:rPr>
        <w:t>распоряжение</w:t>
      </w:r>
      <w:proofErr w:type="gramEnd"/>
      <w:r w:rsidRPr="00A06C62">
        <w:rPr>
          <w:rFonts w:ascii="Arial" w:eastAsia="BatangChe" w:hAnsi="Arial" w:cs="Arial"/>
          <w:sz w:val="28"/>
          <w:szCs w:val="28"/>
        </w:rPr>
        <w:t xml:space="preserve"> которыми у него возникло.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Перечень доходов, освобождаемых от обложения налогом на доходы физических лиц, содержится в </w:t>
      </w:r>
      <w:hyperlink r:id="rId8" w:history="1">
        <w:r w:rsidRPr="00A06C62">
          <w:rPr>
            <w:rFonts w:ascii="Arial" w:eastAsia="BatangChe" w:hAnsi="Arial" w:cs="Arial"/>
            <w:sz w:val="28"/>
            <w:szCs w:val="28"/>
          </w:rPr>
          <w:t>статье 217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На основании </w:t>
      </w:r>
      <w:hyperlink r:id="rId9" w:history="1">
        <w:r w:rsidRPr="00A06C62">
          <w:rPr>
            <w:rFonts w:ascii="Arial" w:eastAsia="BatangChe" w:hAnsi="Arial" w:cs="Arial"/>
            <w:sz w:val="28"/>
            <w:szCs w:val="28"/>
          </w:rPr>
          <w:t>пункта 28 статьи 217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 не подлежат обложению налогом на доходы физических лиц сумм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возрасту, в размере, не превышающем 4 000 рублей за налоговый период.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proofErr w:type="gramStart"/>
      <w:r w:rsidRPr="00A06C62">
        <w:rPr>
          <w:rFonts w:ascii="Arial" w:eastAsia="BatangChe" w:hAnsi="Arial" w:cs="Arial"/>
          <w:sz w:val="28"/>
          <w:szCs w:val="28"/>
        </w:rPr>
        <w:t xml:space="preserve">Таким образом, суммы материальной помощи, выплаченные сотрудникам организации в целях поддержки сотрудников, на основании </w:t>
      </w:r>
      <w:hyperlink r:id="rId10" w:history="1">
        <w:r w:rsidRPr="00A06C62">
          <w:rPr>
            <w:rFonts w:ascii="Arial" w:eastAsia="BatangChe" w:hAnsi="Arial" w:cs="Arial"/>
            <w:sz w:val="28"/>
            <w:szCs w:val="28"/>
          </w:rPr>
          <w:t>пункта 28 статьи 217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 не подлежат обложению налогом на доходы физических лиц в сумме, не превышающий 4 000 рублей за налоговый период.</w:t>
      </w:r>
      <w:proofErr w:type="gramEnd"/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>2. По страховым взносам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proofErr w:type="gramStart"/>
      <w:r w:rsidRPr="00A06C62">
        <w:rPr>
          <w:rFonts w:ascii="Arial" w:eastAsia="BatangChe" w:hAnsi="Arial" w:cs="Arial"/>
          <w:sz w:val="28"/>
          <w:szCs w:val="28"/>
        </w:rPr>
        <w:t xml:space="preserve">Исходя из положений </w:t>
      </w:r>
      <w:hyperlink r:id="rId11" w:history="1">
        <w:r w:rsidRPr="00A06C62">
          <w:rPr>
            <w:rFonts w:ascii="Arial" w:eastAsia="BatangChe" w:hAnsi="Arial" w:cs="Arial"/>
            <w:sz w:val="28"/>
            <w:szCs w:val="28"/>
          </w:rPr>
          <w:t>подпункта 1 пункта 1 статьи 420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и </w:t>
      </w:r>
      <w:hyperlink r:id="rId12" w:history="1">
        <w:r w:rsidRPr="00A06C62">
          <w:rPr>
            <w:rFonts w:ascii="Arial" w:eastAsia="BatangChe" w:hAnsi="Arial" w:cs="Arial"/>
            <w:sz w:val="28"/>
            <w:szCs w:val="28"/>
          </w:rPr>
          <w:t>пункта 1 статьи 421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 объектом и базой для начисления страховых взносов для плательщиков страховых взносов - организаций, производящих выплаты и иные вознаграждения физическим лицам, подлежащим обязательному социальному страхованию в соответствии с федеральными законами о конкретных видах обязательного социального страхования, признаются выплаты и иные вознаграждения, начисляемые, </w:t>
      </w:r>
      <w:r w:rsidRPr="00A06C62">
        <w:rPr>
          <w:rFonts w:ascii="Arial" w:eastAsia="BatangChe" w:hAnsi="Arial" w:cs="Arial"/>
          <w:sz w:val="28"/>
          <w:szCs w:val="28"/>
        </w:rPr>
        <w:lastRenderedPageBreak/>
        <w:t>в частности, в рамках трудовых</w:t>
      </w:r>
      <w:proofErr w:type="gramEnd"/>
      <w:r w:rsidRPr="00A06C62">
        <w:rPr>
          <w:rFonts w:ascii="Arial" w:eastAsia="BatangChe" w:hAnsi="Arial" w:cs="Arial"/>
          <w:sz w:val="28"/>
          <w:szCs w:val="28"/>
        </w:rPr>
        <w:t xml:space="preserve"> отношений, за исключением сумм, указанных в </w:t>
      </w:r>
      <w:hyperlink r:id="rId13" w:history="1">
        <w:r w:rsidRPr="00A06C62">
          <w:rPr>
            <w:rFonts w:ascii="Arial" w:eastAsia="BatangChe" w:hAnsi="Arial" w:cs="Arial"/>
            <w:sz w:val="28"/>
            <w:szCs w:val="28"/>
          </w:rPr>
          <w:t>статье 422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Исчерпывающий перечень освобождаемых от обложения страховыми взносами сумм единовременной материальной помощи, оказываемой плательщиками, определен </w:t>
      </w:r>
      <w:hyperlink r:id="rId14" w:history="1">
        <w:r w:rsidRPr="00A06C62">
          <w:rPr>
            <w:rFonts w:ascii="Arial" w:eastAsia="BatangChe" w:hAnsi="Arial" w:cs="Arial"/>
            <w:sz w:val="28"/>
            <w:szCs w:val="28"/>
          </w:rPr>
          <w:t>подпунктом 3 пункта 1 статьи 422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В связи с этим суммы единовременной материальной помощи, оказываемой плательщиками физическим лицам по иным основаниям, не поименованным в </w:t>
      </w:r>
      <w:hyperlink r:id="rId15" w:history="1">
        <w:r w:rsidRPr="00A06C62">
          <w:rPr>
            <w:rFonts w:ascii="Arial" w:eastAsia="BatangChe" w:hAnsi="Arial" w:cs="Arial"/>
            <w:sz w:val="28"/>
            <w:szCs w:val="28"/>
          </w:rPr>
          <w:t>подпункте 3 пункта 1 статьи 422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Налогового кодекса, подлежат в установленном порядке обложению страховыми взносами как выплаты в рамках трудовых отношений.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r w:rsidRPr="00A06C62">
        <w:rPr>
          <w:rFonts w:ascii="Arial" w:eastAsia="BatangChe" w:hAnsi="Arial" w:cs="Arial"/>
          <w:sz w:val="28"/>
          <w:szCs w:val="28"/>
        </w:rPr>
        <w:t xml:space="preserve">Помимо вышеуказанных сумм материальной помощи, оказываемой плательщиками физическим лицам, на основании </w:t>
      </w:r>
      <w:hyperlink r:id="rId16" w:history="1">
        <w:r w:rsidRPr="00A06C62">
          <w:rPr>
            <w:rFonts w:ascii="Arial" w:eastAsia="BatangChe" w:hAnsi="Arial" w:cs="Arial"/>
            <w:sz w:val="28"/>
            <w:szCs w:val="28"/>
          </w:rPr>
          <w:t>подпункта 11 пункта 1 статьи 422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Кодекса не подлежат обложению страховым взносами суммы материальной помощи, оказываемой работодателями своим работникам, не превышающие 4 000 рублей на одного работника за расчетный период.</w:t>
      </w:r>
    </w:p>
    <w:p w:rsidR="00033D19" w:rsidRPr="00A06C62" w:rsidRDefault="00033D19">
      <w:pPr>
        <w:pStyle w:val="ConsPlusNormal"/>
        <w:spacing w:before="220"/>
        <w:ind w:firstLine="540"/>
        <w:jc w:val="both"/>
        <w:rPr>
          <w:rFonts w:ascii="Arial" w:eastAsia="BatangChe" w:hAnsi="Arial" w:cs="Arial"/>
          <w:sz w:val="28"/>
          <w:szCs w:val="28"/>
        </w:rPr>
      </w:pPr>
      <w:proofErr w:type="gramStart"/>
      <w:r w:rsidRPr="00A06C62">
        <w:rPr>
          <w:rFonts w:ascii="Arial" w:eastAsia="BatangChe" w:hAnsi="Arial" w:cs="Arial"/>
          <w:sz w:val="28"/>
          <w:szCs w:val="28"/>
        </w:rPr>
        <w:t xml:space="preserve">Дополнительно сообщается, что по вопросам обложения начисленных выплат страховыми взносами по обязательному социальному страхованию от несчастных случаев на производстве и профессиональных заболеваний в соответствии с Федеральным </w:t>
      </w:r>
      <w:hyperlink r:id="rId17" w:history="1">
        <w:r w:rsidRPr="00A06C62">
          <w:rPr>
            <w:rFonts w:ascii="Arial" w:eastAsia="BatangChe" w:hAnsi="Arial" w:cs="Arial"/>
            <w:sz w:val="28"/>
            <w:szCs w:val="28"/>
          </w:rPr>
          <w:t>законом</w:t>
        </w:r>
      </w:hyperlink>
      <w:r w:rsidRPr="00A06C62">
        <w:rPr>
          <w:rFonts w:ascii="Arial" w:eastAsia="BatangChe" w:hAnsi="Arial" w:cs="Arial"/>
          <w:sz w:val="28"/>
          <w:szCs w:val="28"/>
        </w:rPr>
        <w:t xml:space="preserve"> от 24.07.1998 N 125-ФЗ "Об обязательном социальном страховании от несчастных случаев на производстве и профессиональных заболеваний" следует обращаться в территориальные отделения Фонда социального страхования Российской Федерации.</w:t>
      </w:r>
      <w:proofErr w:type="gramEnd"/>
    </w:p>
    <w:p w:rsidR="00033D19" w:rsidRPr="00A06C62" w:rsidRDefault="00033D19">
      <w:pPr>
        <w:pStyle w:val="ConsPlusNormal"/>
        <w:jc w:val="both"/>
        <w:rPr>
          <w:rFonts w:ascii="Arial" w:eastAsia="BatangChe" w:hAnsi="Arial" w:cs="Arial"/>
          <w:b/>
          <w:sz w:val="24"/>
          <w:szCs w:val="24"/>
        </w:rPr>
      </w:pPr>
    </w:p>
    <w:p w:rsidR="00A06C62" w:rsidRPr="00033D19" w:rsidRDefault="00A06C62" w:rsidP="00A06C62">
      <w:pPr>
        <w:pStyle w:val="ConsPlusNormal"/>
        <w:ind w:firstLine="540"/>
        <w:jc w:val="right"/>
        <w:rPr>
          <w:rFonts w:ascii="Arial" w:eastAsia="BatangChe" w:hAnsi="Arial" w:cs="Arial"/>
          <w:sz w:val="24"/>
          <w:szCs w:val="24"/>
        </w:rPr>
      </w:pPr>
      <w:r w:rsidRPr="00A06C62">
        <w:rPr>
          <w:rFonts w:ascii="Arial" w:eastAsia="BatangChe" w:hAnsi="Arial" w:cs="Arial"/>
          <w:b/>
          <w:sz w:val="24"/>
          <w:szCs w:val="24"/>
        </w:rPr>
        <w:t xml:space="preserve">Основание: </w:t>
      </w:r>
      <w:r>
        <w:rPr>
          <w:rFonts w:ascii="Arial" w:eastAsia="BatangChe" w:hAnsi="Arial" w:cs="Arial"/>
          <w:b/>
          <w:sz w:val="24"/>
          <w:szCs w:val="24"/>
        </w:rPr>
        <w:t xml:space="preserve">письмо Минфина и ФНС России </w:t>
      </w:r>
    </w:p>
    <w:p w:rsidR="00A06C62" w:rsidRPr="00033D19" w:rsidRDefault="00A06C62" w:rsidP="00A06C62">
      <w:pPr>
        <w:pStyle w:val="ConsPlusTitle"/>
        <w:jc w:val="right"/>
        <w:rPr>
          <w:rFonts w:ascii="Arial" w:eastAsia="BatangChe" w:hAnsi="Arial" w:cs="Arial"/>
          <w:sz w:val="24"/>
          <w:szCs w:val="24"/>
        </w:rPr>
      </w:pPr>
      <w:r w:rsidRPr="00033D19">
        <w:rPr>
          <w:rFonts w:ascii="Arial" w:eastAsia="BatangChe" w:hAnsi="Arial" w:cs="Arial"/>
          <w:sz w:val="24"/>
          <w:szCs w:val="24"/>
        </w:rPr>
        <w:t>от 24 июля 2020 г. N БС-4-11/11908@</w:t>
      </w:r>
    </w:p>
    <w:p w:rsidR="00A06C62" w:rsidRPr="00033D19" w:rsidRDefault="00A06C62" w:rsidP="00A06C62">
      <w:pPr>
        <w:pStyle w:val="ConsPlusTitle"/>
        <w:jc w:val="center"/>
        <w:rPr>
          <w:rFonts w:ascii="Arial" w:eastAsia="BatangChe" w:hAnsi="Arial" w:cs="Arial"/>
          <w:sz w:val="24"/>
          <w:szCs w:val="24"/>
        </w:rPr>
      </w:pPr>
    </w:p>
    <w:p w:rsidR="009F370B" w:rsidRPr="00033D19" w:rsidRDefault="009F370B" w:rsidP="00A06C62">
      <w:pPr>
        <w:pStyle w:val="ConsPlusNormal"/>
        <w:jc w:val="right"/>
        <w:rPr>
          <w:rFonts w:ascii="Arial" w:eastAsia="BatangChe" w:hAnsi="Arial" w:cs="Arial"/>
          <w:sz w:val="24"/>
          <w:szCs w:val="24"/>
        </w:rPr>
      </w:pPr>
      <w:bookmarkStart w:id="0" w:name="_GoBack"/>
      <w:bookmarkEnd w:id="0"/>
    </w:p>
    <w:sectPr w:rsidR="009F370B" w:rsidRPr="00033D19" w:rsidSect="00033D19">
      <w:footerReference w:type="default" r:id="rId1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19" w:rsidRDefault="00033D19" w:rsidP="00033D19">
      <w:pPr>
        <w:spacing w:after="0" w:line="240" w:lineRule="auto"/>
      </w:pPr>
      <w:r>
        <w:separator/>
      </w:r>
    </w:p>
  </w:endnote>
  <w:endnote w:type="continuationSeparator" w:id="0">
    <w:p w:rsidR="00033D19" w:rsidRDefault="00033D19" w:rsidP="0003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19" w:rsidRDefault="00033D19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2B9C362C" wp14:editId="22D70004">
          <wp:extent cx="6331226" cy="47707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254" cy="481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19" w:rsidRDefault="00033D19" w:rsidP="00033D19">
      <w:pPr>
        <w:spacing w:after="0" w:line="240" w:lineRule="auto"/>
      </w:pPr>
      <w:r>
        <w:separator/>
      </w:r>
    </w:p>
  </w:footnote>
  <w:footnote w:type="continuationSeparator" w:id="0">
    <w:p w:rsidR="00033D19" w:rsidRDefault="00033D19" w:rsidP="0003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19"/>
    <w:rsid w:val="00033D19"/>
    <w:rsid w:val="009F370B"/>
    <w:rsid w:val="00A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D19"/>
  </w:style>
  <w:style w:type="paragraph" w:styleId="a5">
    <w:name w:val="footer"/>
    <w:basedOn w:val="a"/>
    <w:link w:val="a6"/>
    <w:uiPriority w:val="99"/>
    <w:unhideWhenUsed/>
    <w:rsid w:val="000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D19"/>
  </w:style>
  <w:style w:type="paragraph" w:styleId="a7">
    <w:name w:val="Balloon Text"/>
    <w:basedOn w:val="a"/>
    <w:link w:val="a8"/>
    <w:uiPriority w:val="99"/>
    <w:semiHidden/>
    <w:unhideWhenUsed/>
    <w:rsid w:val="000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D19"/>
  </w:style>
  <w:style w:type="paragraph" w:styleId="a5">
    <w:name w:val="footer"/>
    <w:basedOn w:val="a"/>
    <w:link w:val="a6"/>
    <w:uiPriority w:val="99"/>
    <w:unhideWhenUsed/>
    <w:rsid w:val="0003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D19"/>
  </w:style>
  <w:style w:type="paragraph" w:styleId="a7">
    <w:name w:val="Balloon Text"/>
    <w:basedOn w:val="a"/>
    <w:link w:val="a8"/>
    <w:uiPriority w:val="99"/>
    <w:semiHidden/>
    <w:unhideWhenUsed/>
    <w:rsid w:val="000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DA3E787E2A3510D3E009B4A86E13B941F048471B116C04E61BDA3ECC9A04EE2D95EFFEDBB3C7FE4B26163EEDD9200A7A0BB266EB9125L3t2I" TargetMode="External"/><Relationship Id="rId13" Type="http://schemas.openxmlformats.org/officeDocument/2006/relationships/hyperlink" Target="consultantplus://offline/ref=B7BADA3E787E2A3510D3E009B4A86E13B941F048471B116C04E61BDA3ECC9A04EE2D95EFFDDEB2C4FD1423032FB5D520156403A47AE993L2t7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ADA3E787E2A3510D3E009B4A86E13B941F048471B116C04E61BDA3ECC9A04EE2D95EFFEDBB0C5F14B26163EEDD9200A7A0BB266EB9125L3t2I" TargetMode="External"/><Relationship Id="rId12" Type="http://schemas.openxmlformats.org/officeDocument/2006/relationships/hyperlink" Target="consultantplus://offline/ref=B7BADA3E787E2A3510D3E009B4A86E13B941F048471B116C04E61BDA3ECC9A04EE2D95EFFDDEB1C7FD1423032FB5D520156403A47AE993L2t7I" TargetMode="External"/><Relationship Id="rId17" Type="http://schemas.openxmlformats.org/officeDocument/2006/relationships/hyperlink" Target="consultantplus://offline/ref=B7BADA3E787E2A3510D3E009B4A86E13B940F548491D116C04E61BDA3ECC9A04FC2DCDE3FFDBAFC4FE5E704778LBt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BADA3E787E2A3510D3E009B4A86E13B941F048471B116C04E61BDA3ECC9A04EE2D95EFFDDEB4C0FD1423032FB5D520156403A47AE993L2t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BADA3E787E2A3510D3E009B4A86E13B941F048471B116C04E61BDA3ECC9A04EE2D95EFFDD9B8C7FD1423032FB5D520156403A47AE993L2t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BADA3E787E2A3510D3E009B4A86E13B941F048471B116C04E61BDA3ECC9A04EE2D95EFFDDEB5C7FD1423032FB5D520156403A47AE993L2t7I" TargetMode="External"/><Relationship Id="rId10" Type="http://schemas.openxmlformats.org/officeDocument/2006/relationships/hyperlink" Target="consultantplus://offline/ref=B7BADA3E787E2A3510D3E009B4A86E13B941F048471B116C04E61BDA3ECC9A04EE2D95EFFEDBB3CDF24B26163EEDD9200A7A0BB266EB9125L3t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ADA3E787E2A3510D3E009B4A86E13B941F048471B116C04E61BDA3ECC9A04EE2D95EFFEDBB3CDF24B26163EEDD9200A7A0BB266EB9125L3t2I" TargetMode="External"/><Relationship Id="rId14" Type="http://schemas.openxmlformats.org/officeDocument/2006/relationships/hyperlink" Target="consultantplus://offline/ref=B7BADA3E787E2A3510D3E009B4A86E13B941F048471B116C04E61BDA3ECC9A04EE2D95EFFDDEB5C7FD1423032FB5D520156403A47AE993L2t7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Аршинов Дмитрий Вячеславович</cp:lastModifiedBy>
  <cp:revision>3</cp:revision>
  <dcterms:created xsi:type="dcterms:W3CDTF">2020-08-11T09:01:00Z</dcterms:created>
  <dcterms:modified xsi:type="dcterms:W3CDTF">2020-08-12T00:25:00Z</dcterms:modified>
</cp:coreProperties>
</file>