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8" w:rsidRDefault="00DF2ED8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ED8" w:rsidRDefault="00DF2ED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ИНИЦИАТИВНЫЙ ПРОЕКТ</w:t>
      </w:r>
    </w:p>
    <w:p w:rsidR="00DF2ED8" w:rsidRDefault="007321B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Наша дорога</w:t>
      </w:r>
    </w:p>
    <w:p w:rsidR="00DF2ED8" w:rsidRDefault="007321B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инициативного проекта)</w:t>
      </w:r>
    </w:p>
    <w:p w:rsidR="00DF2ED8" w:rsidRDefault="00DF2ED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Вопросы местного значения или иные вопросы, право решения которых предоставлено органам местного самоуправления городского округа, на решение которых направлен инициативный проект:</w:t>
      </w:r>
      <w:r>
        <w:rPr>
          <w:rFonts w:ascii="Times New Roman" w:hAnsi="Times New Roman"/>
          <w:color w:val="1A1A1A"/>
          <w:sz w:val="28"/>
          <w:szCs w:val="28"/>
        </w:rPr>
        <w:t xml:space="preserve"> Асфальтирование проезжей части и  тротуара, расположенной на муниципальной территории.  </w:t>
      </w:r>
    </w:p>
    <w:p w:rsidR="00DF2ED8" w:rsidRDefault="007321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наименование вопроса местного значения согласно Федеральному</w:t>
      </w:r>
      <w:hyperlink r:id="rId7" w:tooltip="consultantplus://offline/ref=9A521CF5739AB3140E8FED1EEAFF8F3A810B1F7BBD75ADC25356C7AF2As7XEK" w:history="1">
        <w:r>
          <w:rPr>
            <w:rStyle w:val="af6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уот 06 октября 2003 года № 131-ФЗ «Об общих принципах организации местного самоуправления в Российской Федерации»)</w:t>
      </w:r>
    </w:p>
    <w:p w:rsidR="00DF2ED8" w:rsidRDefault="00DF2ED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инициато</w:t>
      </w:r>
      <w:r>
        <w:rPr>
          <w:rFonts w:ascii="Times New Roman" w:eastAsia="Times New Roman" w:hAnsi="Times New Roman" w:cs="Times New Roman"/>
          <w:sz w:val="28"/>
          <w:szCs w:val="28"/>
        </w:rPr>
        <w:t>ре проекта (представителе инициатора проекта):</w:t>
      </w:r>
    </w:p>
    <w:p w:rsidR="00DF2ED8" w:rsidRDefault="007321BD">
      <w:pPr>
        <w:ind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Дьячок Святослав Федорович;</w:t>
      </w:r>
    </w:p>
    <w:p w:rsidR="00DF2ED8" w:rsidRDefault="007321B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Почтовый адрес: 692522г.Уссурийск ул.Первомайская 34-38;</w:t>
      </w:r>
    </w:p>
    <w:p w:rsidR="00DF2ED8" w:rsidRDefault="007321B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 89244215388;</w:t>
      </w:r>
    </w:p>
    <w:p w:rsidR="00DF2ED8" w:rsidRDefault="007321B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maranello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DF2ED8" w:rsidRDefault="00DF2ED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проблемы, решение которой имеет приоритетное значение для жителей Уссурийского городского округа или его части: </w:t>
      </w:r>
    </w:p>
    <w:p w:rsidR="00DF2ED8" w:rsidRDefault="00DF2ED8">
      <w:pPr>
        <w:ind w:firstLine="567"/>
        <w:rPr>
          <w:rFonts w:ascii="Times New Roman" w:hAnsi="Times New Roman"/>
          <w:sz w:val="28"/>
          <w:szCs w:val="28"/>
          <w:highlight w:val="white"/>
        </w:rPr>
      </w:pPr>
    </w:p>
    <w:p w:rsidR="00DF2ED8" w:rsidRDefault="007321B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Асфальтное покрытие дороги и тротуара вдоль территории дома № 29 по ул.Вокзальная дамба был уложен более 30 лет назад, </w:t>
      </w:r>
      <w:r>
        <w:rPr>
          <w:rFonts w:ascii="Times New Roman" w:hAnsi="Times New Roman"/>
          <w:sz w:val="28"/>
          <w:szCs w:val="28"/>
        </w:rPr>
        <w:t xml:space="preserve">реконструкция </w:t>
      </w:r>
      <w:r>
        <w:rPr>
          <w:rFonts w:ascii="Times New Roman" w:hAnsi="Times New Roman"/>
          <w:sz w:val="28"/>
          <w:szCs w:val="28"/>
        </w:rPr>
        <w:t>дороги не проводилась с 1986 года со дня строительства</w:t>
      </w:r>
      <w:r>
        <w:rPr>
          <w:rFonts w:ascii="Times New Roman" w:hAnsi="Times New Roman"/>
          <w:sz w:val="28"/>
          <w:szCs w:val="28"/>
          <w:highlight w:val="white"/>
        </w:rPr>
        <w:t xml:space="preserve">. Асфальтовое покрытие выработало свой срок и пришло в негодность: асфальт потрескался, образовались глубокие ямы, трещины, что </w:t>
      </w:r>
      <w:r>
        <w:rPr>
          <w:rFonts w:ascii="Times New Roman" w:hAnsi="Times New Roman"/>
          <w:sz w:val="28"/>
          <w:szCs w:val="28"/>
        </w:rPr>
        <w:t>не соответствует нормам охраны жизни и здоровья</w:t>
      </w:r>
      <w:r>
        <w:rPr>
          <w:rFonts w:ascii="Times New Roman" w:hAnsi="Times New Roman"/>
          <w:sz w:val="28"/>
          <w:szCs w:val="28"/>
          <w:highlight w:val="white"/>
        </w:rPr>
        <w:t xml:space="preserve">. Большая часть бордюрного </w:t>
      </w:r>
      <w:r>
        <w:rPr>
          <w:rFonts w:ascii="Times New Roman" w:hAnsi="Times New Roman"/>
          <w:sz w:val="28"/>
          <w:szCs w:val="28"/>
          <w:highlight w:val="white"/>
        </w:rPr>
        <w:t xml:space="preserve">камня разрушилась, оголив арматуру. Выбитый щебень, торчащая арматура подвергает опасности здоровье детей. Передвижение стало затруднительным для маломобильных групп населения, так же для </w:t>
      </w:r>
      <w:r>
        <w:rPr>
          <w:rFonts w:ascii="Times New Roman" w:hAnsi="Times New Roman"/>
          <w:sz w:val="28"/>
          <w:szCs w:val="28"/>
        </w:rPr>
        <w:t>участников СВО с ограниченными физическими возможностями, проживающи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  <w:highlight w:val="white"/>
        </w:rPr>
        <w:t xml:space="preserve">в доме. В весенний и осенний сезоны  образуются огромные лужи. В зимнее время </w:t>
      </w:r>
      <w:r>
        <w:rPr>
          <w:rFonts w:ascii="Times New Roman" w:hAnsi="Times New Roman"/>
          <w:sz w:val="28"/>
          <w:szCs w:val="28"/>
        </w:rPr>
        <w:t xml:space="preserve">всё замерзает и становится труднопроходимым, что доставляет большие неудобства жителям. В темное время суток, затрудняет передвижение пешеходам отсутствие освещения. </w:t>
      </w:r>
      <w:r>
        <w:rPr>
          <w:rFonts w:ascii="Times New Roman" w:hAnsi="Times New Roman"/>
          <w:sz w:val="28"/>
          <w:szCs w:val="28"/>
          <w:highlight w:val="white"/>
        </w:rPr>
        <w:t>Проезд исп</w:t>
      </w:r>
      <w:r>
        <w:rPr>
          <w:rFonts w:ascii="Times New Roman" w:hAnsi="Times New Roman"/>
          <w:sz w:val="28"/>
          <w:szCs w:val="28"/>
          <w:highlight w:val="white"/>
        </w:rPr>
        <w:t>ользуется к детскому саду №246 (ул. Октябрьская, 189), к скверу, а также рядом стоящим домам, как пешеходами для прохода, так и транспортом для проезда.</w:t>
      </w:r>
    </w:p>
    <w:p w:rsidR="00DF2ED8" w:rsidRDefault="00DF2ED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Обоснование предложений по решению проблемы, указанной в п. 3 инициативного проекта, с указанием де</w:t>
      </w:r>
      <w:r>
        <w:rPr>
          <w:rFonts w:ascii="Times New Roman" w:eastAsia="Times New Roman" w:hAnsi="Times New Roman" w:cs="Times New Roman"/>
          <w:sz w:val="28"/>
          <w:szCs w:val="28"/>
        </w:rPr>
        <w:t>йствий, мероприятий необходимых для реализации инициативного проекта</w:t>
      </w:r>
    </w:p>
    <w:p w:rsidR="00DF2ED8" w:rsidRDefault="00DF2ED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pStyle w:val="a9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Существующее состояние тротуара и дороги приносит массу неудобств жителям и спец. машинам.</w:t>
      </w:r>
    </w:p>
    <w:p w:rsidR="00DF2ED8" w:rsidRDefault="007321BD">
      <w:pPr>
        <w:pStyle w:val="a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По причине отсутствия асфальтированного участка у входа в дом нет возможности проводить массовы</w:t>
      </w:r>
      <w:r>
        <w:rPr>
          <w:rFonts w:ascii="Times New Roman" w:hAnsi="Times New Roman"/>
          <w:sz w:val="28"/>
          <w:szCs w:val="28"/>
          <w:highlight w:val="white"/>
        </w:rPr>
        <w:t xml:space="preserve">е мероприятия, праздники на улице. В случае возникновения чрезвычайной ситуации (пожар, несчастный случай), ограничена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возможность подъезда техники оперативных служб к дому. </w:t>
      </w:r>
      <w:r>
        <w:rPr>
          <w:rFonts w:ascii="Times New Roman" w:hAnsi="Times New Roman"/>
          <w:sz w:val="28"/>
          <w:szCs w:val="28"/>
        </w:rPr>
        <w:t>В связи с этим необходим полноценный ремонт тротуара, дороги, а также её расширени</w:t>
      </w:r>
      <w:r>
        <w:rPr>
          <w:rFonts w:ascii="Times New Roman" w:hAnsi="Times New Roman"/>
          <w:sz w:val="28"/>
          <w:szCs w:val="28"/>
        </w:rPr>
        <w:t xml:space="preserve">е для беспрепятственного разъезда автомобилей.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Проблема актуальна. </w:t>
      </w:r>
    </w:p>
    <w:p w:rsidR="00DF2ED8" w:rsidRDefault="007321B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Дорога - это артерия, связующая дом с внешним миром. Комфортное проживание людей напрямую зависит от состояния дворовых проездов. </w:t>
      </w:r>
      <w:r>
        <w:rPr>
          <w:rFonts w:ascii="Times New Roman" w:hAnsi="Times New Roman"/>
          <w:sz w:val="28"/>
          <w:szCs w:val="28"/>
          <w:highlight w:val="white"/>
        </w:rPr>
        <w:t>Её решение необходимо для поддержания и сохранения здоровь</w:t>
      </w:r>
      <w:r>
        <w:rPr>
          <w:rFonts w:ascii="Times New Roman" w:hAnsi="Times New Roman"/>
          <w:sz w:val="28"/>
          <w:szCs w:val="28"/>
          <w:highlight w:val="white"/>
        </w:rPr>
        <w:t>я детей, маломобильных групп населения, это положительно повлияет на улучшение качества их жизни.</w:t>
      </w:r>
    </w:p>
    <w:p w:rsidR="00DF2ED8" w:rsidRDefault="00DF2ED8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DF2ED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Описание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ожидаемого результата (ожидаемых результатов) реализации инициативного проекта (в том числе с указанием предполагаемого срока использования результатов проекта и сезонности его востребованности,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мероприятий, направленных на решение проблем людей с ограниченными возможностями и обеспечение доступности объект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):</w:t>
      </w:r>
    </w:p>
    <w:p w:rsidR="00DF2ED8" w:rsidRDefault="00DF2ED8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</w:rPr>
      </w:pPr>
    </w:p>
    <w:p w:rsidR="00DF2ED8" w:rsidRDefault="007321BD">
      <w:pPr>
        <w:widowControl/>
        <w:spacing w:line="276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данного проекта по ремонту тротуара и дороги с ее расширением </w:t>
      </w:r>
      <w:r>
        <w:rPr>
          <w:rFonts w:ascii="Times New Roman" w:hAnsi="Times New Roman"/>
          <w:sz w:val="28"/>
          <w:szCs w:val="28"/>
          <w:highlight w:val="white"/>
        </w:rPr>
        <w:t>вдоль территории дома</w:t>
      </w:r>
      <w:r>
        <w:rPr>
          <w:rFonts w:ascii="Times New Roman" w:hAnsi="Times New Roman"/>
          <w:sz w:val="28"/>
          <w:szCs w:val="28"/>
        </w:rPr>
        <w:t xml:space="preserve"> Вокзальная дамба, д.29 приведет к безопасно</w:t>
      </w:r>
      <w:r>
        <w:rPr>
          <w:rFonts w:ascii="Times New Roman" w:hAnsi="Times New Roman"/>
          <w:sz w:val="28"/>
          <w:szCs w:val="28"/>
        </w:rPr>
        <w:t xml:space="preserve">сти участников движения (прежде всего детей, пожилых людей и </w:t>
      </w:r>
      <w:r>
        <w:rPr>
          <w:rFonts w:ascii="Times New Roman" w:hAnsi="Times New Roman"/>
          <w:sz w:val="28"/>
          <w:szCs w:val="28"/>
          <w:highlight w:val="white"/>
        </w:rPr>
        <w:t>маломобильных групп населения</w:t>
      </w:r>
      <w:r>
        <w:rPr>
          <w:rFonts w:ascii="Times New Roman" w:hAnsi="Times New Roman"/>
          <w:sz w:val="28"/>
          <w:szCs w:val="28"/>
        </w:rPr>
        <w:t>). Создаст условия для благополучной эксплуатации многоквартирного проезда к прилегающим территориям. И обеспечит жителей безопасным пешеходным тротуаром.  Что приобщ</w:t>
      </w:r>
      <w:r>
        <w:rPr>
          <w:rFonts w:ascii="Times New Roman" w:hAnsi="Times New Roman"/>
          <w:sz w:val="28"/>
          <w:szCs w:val="28"/>
        </w:rPr>
        <w:t>ит детей к пешим и велосипедным прогулкам. Повысит уровень и условия проживания жителей, а также технического состояния дорог местного значения. Что в свою очередь приведет к благоустройству общественной территории и  эстетическому облику микрорайона «Южно</w:t>
      </w:r>
      <w:r>
        <w:rPr>
          <w:rFonts w:ascii="Times New Roman" w:hAnsi="Times New Roman"/>
          <w:sz w:val="28"/>
          <w:szCs w:val="28"/>
        </w:rPr>
        <w:t>-Слободской»</w:t>
      </w:r>
    </w:p>
    <w:p w:rsidR="00DF2ED8" w:rsidRDefault="00DF2ED8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DF2ED8" w:rsidRDefault="007321BD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Предварительный расчет необходимых расходов на реализацию инициативного проекта</w:t>
      </w:r>
    </w:p>
    <w:tbl>
      <w:tblPr>
        <w:tblStyle w:val="af5"/>
        <w:tblW w:w="10029" w:type="dxa"/>
        <w:tblLayout w:type="fixed"/>
        <w:tblLook w:val="04A0"/>
      </w:tblPr>
      <w:tblGrid>
        <w:gridCol w:w="674"/>
        <w:gridCol w:w="3118"/>
        <w:gridCol w:w="1276"/>
        <w:gridCol w:w="567"/>
        <w:gridCol w:w="850"/>
        <w:gridCol w:w="567"/>
        <w:gridCol w:w="709"/>
        <w:gridCol w:w="709"/>
        <w:gridCol w:w="709"/>
        <w:gridCol w:w="850"/>
      </w:tblGrid>
      <w:tr w:rsidR="00DF2ED8">
        <w:tc>
          <w:tcPr>
            <w:tcW w:w="674" w:type="dxa"/>
            <w:vMerge w:val="restart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4394" w:type="dxa"/>
            <w:gridSpan w:val="6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DF2ED8">
        <w:tc>
          <w:tcPr>
            <w:tcW w:w="674" w:type="dxa"/>
            <w:vMerge/>
            <w:noWrap/>
            <w:vAlign w:val="center"/>
          </w:tcPr>
          <w:p w:rsidR="00DF2ED8" w:rsidRDefault="00DF2ED8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:rsidR="00DF2ED8" w:rsidRDefault="00DF2ED8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vMerge/>
            <w:noWrap/>
            <w:vAlign w:val="center"/>
          </w:tcPr>
          <w:p w:rsidR="00DF2ED8" w:rsidRDefault="00DF2ED8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 (указать)</w:t>
            </w:r>
          </w:p>
        </w:tc>
      </w:tr>
      <w:tr w:rsidR="00DF2ED8">
        <w:tc>
          <w:tcPr>
            <w:tcW w:w="674" w:type="dxa"/>
            <w:vMerge/>
            <w:noWrap/>
            <w:vAlign w:val="center"/>
          </w:tcPr>
          <w:p w:rsidR="00DF2ED8" w:rsidRDefault="00DF2ED8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:rsidR="00DF2ED8" w:rsidRDefault="00DF2ED8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noWrap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567" w:type="dxa"/>
            <w:noWrap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noWrap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567" w:type="dxa"/>
            <w:noWrap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noWrap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709" w:type="dxa"/>
            <w:noWrap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noWrap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850" w:type="dxa"/>
            <w:noWrap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2ED8">
        <w:tc>
          <w:tcPr>
            <w:tcW w:w="674" w:type="dxa"/>
            <w:noWrap/>
            <w:vAlign w:val="center"/>
          </w:tcPr>
          <w:p w:rsidR="00DF2ED8" w:rsidRDefault="007321BD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noWrap/>
          </w:tcPr>
          <w:p w:rsidR="00DF2ED8" w:rsidRDefault="007321BD">
            <w:pPr>
              <w:ind w:left="-113" w:right="-10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технической документации, сметной документации, локального сметного расчета </w:t>
            </w:r>
          </w:p>
        </w:tc>
        <w:tc>
          <w:tcPr>
            <w:tcW w:w="1276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2ED8">
        <w:tc>
          <w:tcPr>
            <w:tcW w:w="674" w:type="dxa"/>
            <w:noWrap/>
            <w:vAlign w:val="center"/>
          </w:tcPr>
          <w:p w:rsidR="00DF2ED8" w:rsidRDefault="007321BD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noWrap/>
          </w:tcPr>
          <w:p w:rsidR="00DF2ED8" w:rsidRDefault="007321BD">
            <w:pPr>
              <w:ind w:left="-113" w:right="-10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Строительные работы (работы по реконструкции), ремонтные работы</w:t>
            </w:r>
          </w:p>
        </w:tc>
        <w:tc>
          <w:tcPr>
            <w:tcW w:w="1276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2ED8">
        <w:tc>
          <w:tcPr>
            <w:tcW w:w="674" w:type="dxa"/>
            <w:noWrap/>
            <w:vAlign w:val="center"/>
          </w:tcPr>
          <w:p w:rsidR="00DF2ED8" w:rsidRDefault="007321BD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noWrap/>
          </w:tcPr>
          <w:p w:rsidR="00DF2ED8" w:rsidRDefault="007321BD">
            <w:pPr>
              <w:ind w:left="-113" w:right="-10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1276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2ED8">
        <w:tc>
          <w:tcPr>
            <w:tcW w:w="674" w:type="dxa"/>
            <w:noWrap/>
            <w:vAlign w:val="center"/>
          </w:tcPr>
          <w:p w:rsidR="00DF2ED8" w:rsidRDefault="007321BD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noWrap/>
          </w:tcPr>
          <w:p w:rsidR="00DF2ED8" w:rsidRDefault="007321BD">
            <w:pPr>
              <w:spacing w:line="276" w:lineRule="auto"/>
              <w:ind w:left="-113" w:right="-10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276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2ED8">
        <w:tc>
          <w:tcPr>
            <w:tcW w:w="674" w:type="dxa"/>
            <w:noWrap/>
            <w:vAlign w:val="center"/>
          </w:tcPr>
          <w:p w:rsidR="00DF2ED8" w:rsidRDefault="007321BD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noWrap/>
          </w:tcPr>
          <w:p w:rsidR="00DF2ED8" w:rsidRDefault="007321BD">
            <w:pPr>
              <w:spacing w:line="276" w:lineRule="auto"/>
              <w:ind w:left="-113" w:right="-10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надзор</w:t>
            </w:r>
          </w:p>
        </w:tc>
        <w:tc>
          <w:tcPr>
            <w:tcW w:w="1276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2ED8">
        <w:tc>
          <w:tcPr>
            <w:tcW w:w="674" w:type="dxa"/>
            <w:noWrap/>
            <w:vAlign w:val="center"/>
          </w:tcPr>
          <w:p w:rsidR="00DF2ED8" w:rsidRDefault="007321BD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noWrap/>
          </w:tcPr>
          <w:p w:rsidR="00DF2ED8" w:rsidRDefault="007321BD">
            <w:pPr>
              <w:spacing w:line="276" w:lineRule="auto"/>
              <w:ind w:left="-113" w:right="-10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расходы (описание)</w:t>
            </w:r>
          </w:p>
        </w:tc>
        <w:tc>
          <w:tcPr>
            <w:tcW w:w="1276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:rsidR="00DF2ED8" w:rsidRDefault="00DF2ED8">
            <w:pPr>
              <w:spacing w:line="276" w:lineRule="auto"/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2ED8">
        <w:tc>
          <w:tcPr>
            <w:tcW w:w="3792" w:type="dxa"/>
            <w:gridSpan w:val="2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4199850,0</w:t>
            </w:r>
          </w:p>
        </w:tc>
        <w:tc>
          <w:tcPr>
            <w:tcW w:w="567" w:type="dxa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DF2ED8" w:rsidRDefault="00DF2ED8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DF2ED8" w:rsidRDefault="007321BD">
            <w:pPr>
              <w:ind w:left="-113" w:right="-10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F2ED8" w:rsidRDefault="00DF2ED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Планируемые сроки реализации инициативного проекта: до 01 октября 2025 года</w:t>
      </w:r>
    </w:p>
    <w:p w:rsidR="00DF2ED8" w:rsidRDefault="00DF2ED8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Сведения о планируемом (возможном) финансовом участии заинтересованных лиц в реализации инициативного проекта с указанием объема инициативных платежей (в случае планирования внесения инициативных платежей) нет.</w:t>
      </w:r>
    </w:p>
    <w:p w:rsidR="00DF2ED8" w:rsidRDefault="00DF2ED8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</w:rPr>
      </w:pP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9. Сведения о планируемом (возможном) иму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щественном участии заинтересованных лиц в реализации инициативного проекта с указанием конкретных видов имущества, которые предполагается использовать при реализации инициативного проекта (в случае планирования имущественного участия заинтересованных лиц 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реализации инициативного проекта):</w:t>
      </w:r>
    </w:p>
    <w:p w:rsidR="00DF2ED8" w:rsidRDefault="007321BD">
      <w:pPr>
        <w:widowControl/>
        <w:spacing w:line="276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благоустройства территории  будет привлечено имущество жителей МКД в виде инструмента (лопаты 5шт,грабли 4шт,ностлки, кисти для побелки бордюрного камня 5шт.)  Известь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побелки бордюрного камня и рассада цветов для озеленения.</w:t>
      </w:r>
    </w:p>
    <w:p w:rsidR="00DF2ED8" w:rsidRDefault="00DF2ED8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10.Сведения о планируемом (возможном) трудовом участии заинтересованных лиц в реализации инициативного проекта с указанием конкретных видов работ, которые предполагается выполнить при реализац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ии инициативного проекта, и лиц, которые предположительно будут их выполнять (в случае планирования трудового участия заинтересованных лиц в реализации инициативного проекта):</w:t>
      </w:r>
    </w:p>
    <w:p w:rsidR="00DF2ED8" w:rsidRDefault="007321BD">
      <w:pPr>
        <w:widowControl/>
        <w:spacing w:line="276" w:lineRule="auto"/>
        <w:ind w:firstLine="709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последнем этапе планируется провести работы по озеленению, которые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обязуются выполнить жители ТОС «Южно-Слободской» В качестве трудового участия планируется провести работы по подготовке грунта и рассады для посадки в цветники, побелка бордюрного камня. Планируется участие 15 человек. Проведение субботников на территории.</w:t>
      </w:r>
    </w:p>
    <w:p w:rsidR="00DF2ED8" w:rsidRDefault="00DF2ED8">
      <w:pPr>
        <w:widowControl/>
        <w:spacing w:line="276" w:lineRule="auto"/>
        <w:ind w:firstLine="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11. Указание на объем средств бюджета УГО в случае, если предполагается использование этих средств на реализацию инициативного проекта, за реализации проекта, исключением планируемого объема инициативных платежей нет.</w:t>
      </w:r>
    </w:p>
    <w:p w:rsidR="00DF2ED8" w:rsidRDefault="00DF2ED8">
      <w:pPr>
        <w:widowControl/>
        <w:ind w:firstLine="540"/>
        <w:rPr>
          <w:rFonts w:ascii="Times New Roman" w:eastAsiaTheme="minorHAnsi" w:hAnsi="Times New Roman" w:cs="Times New Roman"/>
          <w:bCs/>
          <w:sz w:val="28"/>
          <w:szCs w:val="28"/>
        </w:rPr>
      </w:pP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12.Указание на территорию или часть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территории реализации инициативного проекта с указанием реквизитов правового акта администрации УГО об определении части территории городского округа, на которой планируется реализация инициативных проектов;</w:t>
      </w:r>
    </w:p>
    <w:p w:rsidR="00DF2ED8" w:rsidRDefault="007321BD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 </w:t>
      </w:r>
    </w:p>
    <w:p w:rsidR="00DF2ED8" w:rsidRDefault="00DF2ED8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</w:rPr>
      </w:pPr>
    </w:p>
    <w:p w:rsidR="00DF2ED8" w:rsidRDefault="007321BD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13. Предложения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Администрация </w:t>
      </w:r>
    </w:p>
    <w:p w:rsidR="00DF2ED8" w:rsidRDefault="007321B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 Дополнительная информация и комментарии </w:t>
      </w:r>
    </w:p>
    <w:p w:rsidR="00DF2ED8" w:rsidRDefault="007321BD">
      <w:pP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будет способствовать решению части проблем, благоустройства </w:t>
      </w:r>
      <w:r>
        <w:rPr>
          <w:rFonts w:ascii="Times New Roman" w:hAnsi="Times New Roman"/>
          <w:sz w:val="28"/>
          <w:szCs w:val="28"/>
        </w:rPr>
        <w:t>общественной территории, что создаст условия для благополучной эксплуатации многоквартирного проезда к прилегающим терри</w:t>
      </w:r>
      <w:r>
        <w:rPr>
          <w:rFonts w:ascii="Times New Roman" w:hAnsi="Times New Roman"/>
          <w:sz w:val="28"/>
          <w:szCs w:val="28"/>
        </w:rPr>
        <w:t>ториям. А это</w:t>
      </w:r>
      <w:r>
        <w:rPr>
          <w:rFonts w:ascii="Times New Roman" w:hAnsi="Times New Roman" w:cs="Times New Roman"/>
          <w:sz w:val="28"/>
          <w:szCs w:val="28"/>
        </w:rPr>
        <w:t>благоприятный психологический климат для автовладельцев, пешеходов и жителей близь стоящих домов. Которым не придется обходить и объезжать данный участок .</w:t>
      </w:r>
    </w:p>
    <w:p w:rsidR="00DF2ED8" w:rsidRDefault="00DF2ED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дальнейшем планируем принимать участие, для создания на  муниципальной территории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ходящейся в границах домов Вокзальная дамба 31, 29 зоны отдыха, создание единого культурного пространства. </w:t>
      </w:r>
    </w:p>
    <w:p w:rsidR="00DF2ED8" w:rsidRDefault="00DF2ED8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DF2ED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документы, подтверждающие полномочия инициатора проекта: копия паспорта (для физических лиц), заверенная руководителем ТОС копия Ус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тава ТОС, документы, подтверждающие полномочия руководителя или представителя органа ТОС;</w:t>
      </w: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расчет и обоснование предполагаемой стоимости инициативного проекта (в произвольной форме);</w:t>
      </w: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проектно-сметная (сметная) документация (при наличии);</w:t>
      </w: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гарантийно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письмо, подписанное инициатором проекта, содержащее обязательства по обеспечению реализации инициативного проекта в форме инициативных платежей и (или) в форме добровольного имущественного участия и (или) трудового участия заинтересованных лиц (в случае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инициативного проекта предполагается в форме инициативных платежей и (или) в форме добровольного имущественного участия и (или) трудового участия заинтересованных лиц);</w:t>
      </w: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презентационные материалы к инициативному проекту, чертежи, макеты,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графические материалы и др. (при наличии);</w:t>
      </w: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согласие на обработку персональных данных для физических лиц, оформленное в соответствии со </w:t>
      </w:r>
      <w:hyperlink r:id="rId8" w:tooltip="consultantplus://offline/ref=353B910591E6D5800BA9AB5FFF435D95E078CD19381D53D1AFEA1AFA58545592F1C905C30B2D0C1F7EE1AF49DF63B595959A854ADC581FA2v5q1H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9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 июля 2006 года № 152-ФЗ 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персональных данных";</w:t>
      </w:r>
    </w:p>
    <w:p w:rsidR="00DF2ED8" w:rsidRDefault="007321BD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протокол собрания или конференции граждан, подтверждающие поддержку инициативного проекта жителями УГО или его части (в соответствии с решением Думы Уссурийского городского округа от 29 марта 2005 года № 180 «О Положении о собран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иях и конференциях граждан в Уссурийском городском округе»с указанием, в том числе количества жителей участников собрания (конференции), количества жителей, поддержавших инициативный проект).</w:t>
      </w:r>
    </w:p>
    <w:p w:rsidR="00DF2ED8" w:rsidRDefault="00DF2ED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DF2ED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F2ED8" w:rsidRDefault="007321BD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Инициатор проекта, </w:t>
      </w:r>
    </w:p>
    <w:p w:rsidR="00DF2ED8" w:rsidRDefault="007321BD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ТОС «Южно-Слободской»                                                  С.Ф. Дьячок</w:t>
      </w:r>
    </w:p>
    <w:p w:rsidR="00DF2ED8" w:rsidRDefault="007321BD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 ___________20__ года</w:t>
      </w:r>
    </w:p>
    <w:sectPr w:rsidR="00DF2ED8" w:rsidSect="00DF2ED8">
      <w:headerReference w:type="default" r:id="rId9"/>
      <w:pgSz w:w="11907" w:h="16840"/>
      <w:pgMar w:top="567" w:right="568" w:bottom="567" w:left="1418" w:header="29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BD" w:rsidRDefault="007321BD">
      <w:r>
        <w:separator/>
      </w:r>
    </w:p>
  </w:endnote>
  <w:endnote w:type="continuationSeparator" w:id="1">
    <w:p w:rsidR="007321BD" w:rsidRDefault="0073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BD" w:rsidRDefault="007321BD">
      <w:r>
        <w:separator/>
      </w:r>
    </w:p>
  </w:footnote>
  <w:footnote w:type="continuationSeparator" w:id="1">
    <w:p w:rsidR="007321BD" w:rsidRDefault="00732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695935"/>
      <w:docPartObj>
        <w:docPartGallery w:val="Page Numbers (Top of Page)"/>
        <w:docPartUnique/>
      </w:docPartObj>
    </w:sdtPr>
    <w:sdtContent>
      <w:p w:rsidR="00DF2ED8" w:rsidRDefault="00DF2ED8">
        <w:pPr>
          <w:pStyle w:val="Header"/>
          <w:jc w:val="center"/>
          <w:rPr>
            <w:rFonts w:ascii="Liberation Serif" w:hAnsi="Liberation Serif" w:cs="Liberation Serif"/>
            <w:sz w:val="22"/>
            <w:szCs w:val="22"/>
          </w:rPr>
        </w:pPr>
        <w:r>
          <w:rPr>
            <w:rFonts w:ascii="Liberation Serif" w:hAnsi="Liberation Serif" w:cs="Liberation Serif"/>
            <w:sz w:val="22"/>
            <w:szCs w:val="22"/>
          </w:rPr>
          <w:fldChar w:fldCharType="begin"/>
        </w:r>
        <w:r w:rsidR="007321BD">
          <w:rPr>
            <w:rFonts w:ascii="Liberation Serif" w:hAnsi="Liberation Serif" w:cs="Liberation Serif"/>
            <w:sz w:val="22"/>
            <w:szCs w:val="22"/>
          </w:rPr>
          <w:instrText>PAGE   \* MERGEFORMAT</w:instrText>
        </w:r>
        <w:r>
          <w:rPr>
            <w:rFonts w:ascii="Liberation Serif" w:hAnsi="Liberation Serif" w:cs="Liberation Serif"/>
            <w:sz w:val="22"/>
            <w:szCs w:val="22"/>
          </w:rPr>
          <w:fldChar w:fldCharType="separate"/>
        </w:r>
        <w:r w:rsidR="00CC3194">
          <w:rPr>
            <w:rFonts w:ascii="Liberation Serif" w:hAnsi="Liberation Serif" w:cs="Liberation Serif"/>
            <w:noProof/>
            <w:sz w:val="22"/>
            <w:szCs w:val="22"/>
          </w:rPr>
          <w:t>2</w:t>
        </w:r>
        <w:r>
          <w:rPr>
            <w:rFonts w:ascii="Liberation Serif" w:hAnsi="Liberation Serif" w:cs="Liberation Serif"/>
            <w:sz w:val="22"/>
            <w:szCs w:val="22"/>
          </w:rPr>
          <w:fldChar w:fldCharType="end"/>
        </w:r>
      </w:p>
    </w:sdtContent>
  </w:sdt>
  <w:p w:rsidR="00DF2ED8" w:rsidRDefault="00DF2ED8">
    <w:pPr>
      <w:pStyle w:val="Header"/>
      <w:rPr>
        <w:rFonts w:ascii="Liberation Serif" w:hAnsi="Liberation Serif" w:cs="Liberation Serif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30"/>
    <w:multiLevelType w:val="hybridMultilevel"/>
    <w:tmpl w:val="E5E41CD2"/>
    <w:lvl w:ilvl="0" w:tplc="01E28C6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234A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EE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20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6C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2E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4B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630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A4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ED8"/>
    <w:rsid w:val="007321BD"/>
    <w:rsid w:val="00CC3194"/>
    <w:rsid w:val="00DF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8"/>
    <w:pPr>
      <w:widowControl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DF2ED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F2ED8"/>
    <w:rPr>
      <w:sz w:val="24"/>
      <w:szCs w:val="24"/>
    </w:rPr>
  </w:style>
  <w:style w:type="character" w:customStyle="1" w:styleId="QuoteChar">
    <w:name w:val="Quote Char"/>
    <w:link w:val="2"/>
    <w:uiPriority w:val="29"/>
    <w:rsid w:val="00DF2ED8"/>
    <w:rPr>
      <w:i/>
    </w:rPr>
  </w:style>
  <w:style w:type="character" w:customStyle="1" w:styleId="IntenseQuoteChar">
    <w:name w:val="Intense Quote Char"/>
    <w:link w:val="a5"/>
    <w:uiPriority w:val="30"/>
    <w:rsid w:val="00DF2ED8"/>
    <w:rPr>
      <w:i/>
    </w:rPr>
  </w:style>
  <w:style w:type="character" w:customStyle="1" w:styleId="FootnoteTextChar">
    <w:name w:val="Footnote Text Char"/>
    <w:link w:val="a6"/>
    <w:uiPriority w:val="99"/>
    <w:rsid w:val="00DF2ED8"/>
    <w:rPr>
      <w:sz w:val="18"/>
    </w:rPr>
  </w:style>
  <w:style w:type="character" w:customStyle="1" w:styleId="EndnoteTextChar">
    <w:name w:val="Endnote Text Char"/>
    <w:link w:val="a7"/>
    <w:uiPriority w:val="99"/>
    <w:rsid w:val="00DF2ED8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DF2ED8"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2ED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2ED8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2ED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2ED8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2ED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2ED8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2ED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2ED8"/>
    <w:pPr>
      <w:keepNext/>
      <w:keepLines/>
      <w:spacing w:before="320" w:after="200"/>
      <w:outlineLvl w:val="4"/>
    </w:pPr>
    <w:rPr>
      <w:rFonts w:eastAsia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DF2ED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2ED8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F2ED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2ED8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F2ED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2ED8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F2ED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2ED8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2ED8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DF2ED8"/>
    <w:pPr>
      <w:ind w:left="720"/>
      <w:contextualSpacing/>
    </w:pPr>
  </w:style>
  <w:style w:type="paragraph" w:styleId="a9">
    <w:name w:val="No Spacing"/>
    <w:link w:val="aa"/>
    <w:qFormat/>
    <w:rsid w:val="00DF2ED8"/>
    <w:pPr>
      <w:spacing w:after="0" w:line="240" w:lineRule="auto"/>
    </w:pPr>
  </w:style>
  <w:style w:type="paragraph" w:styleId="a3">
    <w:name w:val="Title"/>
    <w:basedOn w:val="a"/>
    <w:next w:val="a"/>
    <w:link w:val="ab"/>
    <w:uiPriority w:val="10"/>
    <w:qFormat/>
    <w:rsid w:val="00DF2ED8"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3"/>
    <w:uiPriority w:val="10"/>
    <w:rsid w:val="00DF2ED8"/>
    <w:rPr>
      <w:sz w:val="48"/>
      <w:szCs w:val="48"/>
    </w:rPr>
  </w:style>
  <w:style w:type="paragraph" w:styleId="a4">
    <w:name w:val="Subtitle"/>
    <w:basedOn w:val="a"/>
    <w:next w:val="a"/>
    <w:link w:val="ac"/>
    <w:uiPriority w:val="11"/>
    <w:qFormat/>
    <w:rsid w:val="00DF2ED8"/>
    <w:pPr>
      <w:spacing w:before="200" w:after="200"/>
    </w:pPr>
  </w:style>
  <w:style w:type="character" w:customStyle="1" w:styleId="ac">
    <w:name w:val="Подзаголовок Знак"/>
    <w:basedOn w:val="a0"/>
    <w:link w:val="a4"/>
    <w:uiPriority w:val="11"/>
    <w:rsid w:val="00DF2ED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2ED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2ED8"/>
    <w:rPr>
      <w:i/>
    </w:rPr>
  </w:style>
  <w:style w:type="paragraph" w:styleId="a5">
    <w:name w:val="Intense Quote"/>
    <w:basedOn w:val="a"/>
    <w:next w:val="a"/>
    <w:link w:val="ad"/>
    <w:uiPriority w:val="30"/>
    <w:qFormat/>
    <w:rsid w:val="00DF2ED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5"/>
    <w:uiPriority w:val="30"/>
    <w:rsid w:val="00DF2ED8"/>
    <w:rPr>
      <w:i/>
    </w:rPr>
  </w:style>
  <w:style w:type="character" w:customStyle="1" w:styleId="HeaderChar">
    <w:name w:val="Header Char"/>
    <w:basedOn w:val="a0"/>
    <w:link w:val="Header"/>
    <w:uiPriority w:val="99"/>
    <w:rsid w:val="00DF2ED8"/>
  </w:style>
  <w:style w:type="paragraph" w:customStyle="1" w:styleId="Footer">
    <w:name w:val="Footer"/>
    <w:basedOn w:val="a"/>
    <w:link w:val="CaptionChar"/>
    <w:uiPriority w:val="99"/>
    <w:unhideWhenUsed/>
    <w:rsid w:val="00DF2ED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F2ED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2ED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2ED8"/>
  </w:style>
  <w:style w:type="table" w:customStyle="1" w:styleId="TableGridLight">
    <w:name w:val="Table Grid Light"/>
    <w:basedOn w:val="a1"/>
    <w:uiPriority w:val="59"/>
    <w:rsid w:val="00DF2E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2ED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DF2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2ED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2E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DF2ED8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DF2ED8"/>
    <w:rPr>
      <w:sz w:val="18"/>
    </w:rPr>
  </w:style>
  <w:style w:type="character" w:styleId="af">
    <w:name w:val="footnote reference"/>
    <w:basedOn w:val="a0"/>
    <w:uiPriority w:val="99"/>
    <w:unhideWhenUsed/>
    <w:rsid w:val="00DF2ED8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DF2ED8"/>
    <w:rPr>
      <w:sz w:val="20"/>
    </w:rPr>
  </w:style>
  <w:style w:type="character" w:customStyle="1" w:styleId="af0">
    <w:name w:val="Текст концевой сноски Знак"/>
    <w:link w:val="a7"/>
    <w:uiPriority w:val="99"/>
    <w:rsid w:val="00DF2ED8"/>
    <w:rPr>
      <w:sz w:val="20"/>
    </w:rPr>
  </w:style>
  <w:style w:type="character" w:styleId="af1">
    <w:name w:val="endnote reference"/>
    <w:basedOn w:val="a0"/>
    <w:uiPriority w:val="99"/>
    <w:semiHidden/>
    <w:unhideWhenUsed/>
    <w:rsid w:val="00DF2ED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2ED8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DF2ED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DF2ED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DF2ED8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DF2ED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DF2ED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DF2ED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DF2ED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DF2ED8"/>
    <w:pPr>
      <w:spacing w:after="57"/>
      <w:ind w:left="2268" w:firstLine="0"/>
    </w:pPr>
  </w:style>
  <w:style w:type="paragraph" w:styleId="af2">
    <w:name w:val="TOC Heading"/>
    <w:uiPriority w:val="39"/>
    <w:unhideWhenUsed/>
    <w:rsid w:val="00DF2ED8"/>
  </w:style>
  <w:style w:type="paragraph" w:styleId="af3">
    <w:name w:val="table of figures"/>
    <w:basedOn w:val="a"/>
    <w:next w:val="a"/>
    <w:uiPriority w:val="99"/>
    <w:unhideWhenUsed/>
    <w:rsid w:val="00DF2ED8"/>
  </w:style>
  <w:style w:type="paragraph" w:customStyle="1" w:styleId="Header">
    <w:name w:val="Header"/>
    <w:basedOn w:val="a"/>
    <w:link w:val="af4"/>
    <w:uiPriority w:val="99"/>
    <w:unhideWhenUsed/>
    <w:rsid w:val="00DF2ED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DF2ED8"/>
    <w:rPr>
      <w:rFonts w:ascii="Arial" w:eastAsiaTheme="minorEastAsia" w:hAnsi="Arial" w:cs="Arial"/>
      <w:sz w:val="24"/>
      <w:szCs w:val="24"/>
      <w:lang w:eastAsia="ru-RU"/>
    </w:rPr>
  </w:style>
  <w:style w:type="table" w:styleId="af5">
    <w:name w:val="Table Grid"/>
    <w:basedOn w:val="a1"/>
    <w:uiPriority w:val="39"/>
    <w:rsid w:val="00DF2ED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ED8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2ED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DF2ED8"/>
    <w:rPr>
      <w:color w:val="0000FF"/>
      <w:u w:val="single"/>
    </w:rPr>
  </w:style>
  <w:style w:type="character" w:customStyle="1" w:styleId="aa">
    <w:name w:val="Без интервала Знак"/>
    <w:link w:val="a9"/>
    <w:rsid w:val="00DF2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B910591E6D5800BA9AB5FFF435D95E078CD19381D53D1AFEA1AFA58545592F1C905C30B2D0C1F7EE1AF49DF63B595959A854ADC581FA2v5q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521CF5739AB3140E8FED1EEAFF8F3A810B1F7BBD75ADC25356C7AF2As7X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home</cp:lastModifiedBy>
  <cp:revision>2</cp:revision>
  <dcterms:created xsi:type="dcterms:W3CDTF">2024-09-09T23:38:00Z</dcterms:created>
  <dcterms:modified xsi:type="dcterms:W3CDTF">2024-09-09T23:38:00Z</dcterms:modified>
</cp:coreProperties>
</file>